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85E68" w14:textId="018FE138" w:rsidR="004A3CD4" w:rsidRDefault="004A3CD4" w:rsidP="004A3CD4">
      <w:pPr>
        <w:pStyle w:val="3GPPHeader"/>
        <w:spacing w:after="60"/>
        <w:rPr>
          <w:sz w:val="32"/>
          <w:szCs w:val="32"/>
          <w:highlight w:val="yellow"/>
        </w:rPr>
      </w:pPr>
      <w:r>
        <w:t>3GPP TSG-RAN WG1 Meeting #107-e</w:t>
      </w:r>
      <w:r>
        <w:tab/>
      </w:r>
      <w:proofErr w:type="spellStart"/>
      <w:r>
        <w:rPr>
          <w:sz w:val="32"/>
          <w:szCs w:val="32"/>
        </w:rPr>
        <w:t>Tdoc</w:t>
      </w:r>
      <w:proofErr w:type="spellEnd"/>
      <w:r>
        <w:rPr>
          <w:sz w:val="32"/>
          <w:szCs w:val="32"/>
        </w:rPr>
        <w:t xml:space="preserve"> </w:t>
      </w:r>
      <w:r w:rsidR="009C06C3" w:rsidRPr="009C06C3">
        <w:rPr>
          <w:sz w:val="32"/>
          <w:szCs w:val="32"/>
        </w:rPr>
        <w:t>R1-2111464</w:t>
      </w:r>
    </w:p>
    <w:p w14:paraId="284AB2FE" w14:textId="77777777" w:rsidR="004A3CD4" w:rsidRDefault="004A3CD4" w:rsidP="004A3CD4">
      <w:pPr>
        <w:pStyle w:val="3GPPHeader"/>
      </w:pPr>
      <w:r>
        <w:t>e-Meeting, 11</w:t>
      </w:r>
      <w:r>
        <w:rPr>
          <w:vertAlign w:val="superscript"/>
        </w:rPr>
        <w:t>th</w:t>
      </w:r>
      <w:r>
        <w:t xml:space="preserve"> – 19</w:t>
      </w:r>
      <w:r>
        <w:rPr>
          <w:vertAlign w:val="superscript"/>
        </w:rPr>
        <w:t>th</w:t>
      </w:r>
      <w:r>
        <w:t xml:space="preserve"> </w:t>
      </w:r>
      <w:proofErr w:type="gramStart"/>
      <w:r>
        <w:t>November,</w:t>
      </w:r>
      <w:proofErr w:type="gramEnd"/>
      <w:r>
        <w:t xml:space="preserve"> 2021</w:t>
      </w:r>
    </w:p>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bookmarkStart w:id="0" w:name="_Toc67653037"/>
      <w:bookmarkStart w:id="1" w:name="_Toc86845003"/>
      <w:r>
        <w:t>1</w:t>
      </w:r>
      <w:r>
        <w:tab/>
      </w:r>
      <w:r w:rsidRPr="00CE0424">
        <w:t>Introduction</w:t>
      </w:r>
      <w:bookmarkEnd w:id="0"/>
      <w:bookmarkEnd w:id="1"/>
    </w:p>
    <w:p w14:paraId="3B4D26C0" w14:textId="63A25EEC" w:rsidR="00844C5C" w:rsidRDefault="00332C63" w:rsidP="0013172E">
      <w:pPr>
        <w:pStyle w:val="BodyText"/>
      </w:pPr>
      <w:r w:rsidRPr="00332C63">
        <w:t>A</w:t>
      </w:r>
      <w:r w:rsidR="004D0756">
        <w:t xml:space="preserve"> revised</w:t>
      </w:r>
      <w:r w:rsidRPr="00332C63">
        <w:t xml:space="preserve"> WI</w:t>
      </w:r>
      <w:r>
        <w:t>D</w:t>
      </w:r>
      <w:r w:rsidRPr="00332C63">
        <w:t xml:space="preserve"> </w:t>
      </w:r>
      <w:r w:rsidR="00622BE3">
        <w:fldChar w:fldCharType="begin"/>
      </w:r>
      <w:r w:rsidR="00622BE3">
        <w:instrText xml:space="preserve"> REF _Ref61437387 \r \h </w:instrText>
      </w:r>
      <w:r w:rsidR="00622BE3">
        <w:fldChar w:fldCharType="separate"/>
      </w:r>
      <w:r w:rsidR="00357B6D">
        <w:t>[1]</w:t>
      </w:r>
      <w:r w:rsidR="00622BE3">
        <w:fldChar w:fldCharType="end"/>
      </w:r>
      <w:r w:rsidR="004D0756">
        <w:t xml:space="preserve"> </w:t>
      </w:r>
      <w:r w:rsidRPr="00332C63">
        <w:t>w</w:t>
      </w:r>
      <w:r w:rsidR="001B7F5D">
        <w:t>as</w:t>
      </w:r>
      <w:r w:rsidRPr="00332C63">
        <w:t xml:space="preserve"> approved in RAN #</w:t>
      </w:r>
      <w:r w:rsidR="007868F6">
        <w:t>90</w:t>
      </w:r>
      <w:r w:rsidRPr="00332C63">
        <w:t xml:space="preserve"> to </w:t>
      </w:r>
      <w:r w:rsidR="004A7CDE" w:rsidRPr="004A7CDE">
        <w:t>extend NR operation up to 71GHz considering, both licensed and unlicensed operation</w:t>
      </w:r>
      <w:r w:rsidRPr="00332C63">
        <w:t xml:space="preserve">. </w:t>
      </w:r>
      <w:r w:rsidR="002E451E" w:rsidRPr="002E451E">
        <w:t>Among other items, the WID "Extending current NR operation to 71 GHz" includes the following RAN1 objective</w:t>
      </w:r>
      <w:r w:rsidR="002E451E">
        <w:t>:</w:t>
      </w:r>
    </w:p>
    <w:p w14:paraId="2253749B" w14:textId="19DC63EB" w:rsidR="002E451E" w:rsidRDefault="00B03FD8" w:rsidP="00B03FD8">
      <w:pPr>
        <w:pStyle w:val="BodyText"/>
        <w:ind w:left="567"/>
      </w:pPr>
      <w:r w:rsidRPr="00B03FD8">
        <w:t>Support enhancement to PDCCH monitoring, including blind detection/CCE budget, and multi-slot span monitoring, potential limitation to UE PDCCH configuration and capability related to PDCCH monitoring.</w:t>
      </w:r>
    </w:p>
    <w:p w14:paraId="30BD579F" w14:textId="19EE1CE2" w:rsidR="0013172E" w:rsidRDefault="0032365E" w:rsidP="00394451">
      <w:pPr>
        <w:pStyle w:val="BodyText"/>
      </w:pPr>
      <w:r>
        <w:t xml:space="preserve">With respect to </w:t>
      </w:r>
      <w:r w:rsidR="00075F91">
        <w:t xml:space="preserve">PDCCH monitoring capability enhancements, </w:t>
      </w:r>
      <w:r w:rsidR="0013172E">
        <w:t>it was agreed in RAN1 #106-e</w:t>
      </w:r>
    </w:p>
    <w:p w14:paraId="60B02F1E" w14:textId="77777777" w:rsidR="00152C73" w:rsidRPr="00135225" w:rsidRDefault="00152C73" w:rsidP="00135225">
      <w:pPr>
        <w:spacing w:before="120" w:after="120"/>
        <w:ind w:left="567"/>
        <w:rPr>
          <w:highlight w:val="green"/>
          <w:lang w:eastAsia="x-none"/>
        </w:rPr>
      </w:pPr>
      <w:r w:rsidRPr="00C46E7F">
        <w:rPr>
          <w:highlight w:val="green"/>
          <w:lang w:eastAsia="x-none"/>
        </w:rPr>
        <w:t>Agreement:</w:t>
      </w:r>
    </w:p>
    <w:p w14:paraId="620C8031" w14:textId="77777777" w:rsidR="00152C73" w:rsidRPr="00AC1A35" w:rsidRDefault="00152C73" w:rsidP="00135225">
      <w:pPr>
        <w:spacing w:after="0"/>
        <w:ind w:left="567"/>
        <w:rPr>
          <w:lang w:eastAsia="zh-CN"/>
        </w:rPr>
      </w:pPr>
      <w:r w:rsidRPr="00AC1A35">
        <w:rPr>
          <w:lang w:eastAsia="zh-CN"/>
        </w:rPr>
        <w:t>For reporting the multi-slot PDCCH monitoring capability, at least the following values are supported:</w:t>
      </w:r>
    </w:p>
    <w:p w14:paraId="149EC007" w14:textId="77777777" w:rsidR="00152C73" w:rsidRPr="00AC1A35" w:rsidRDefault="00152C73" w:rsidP="00A702E8">
      <w:pPr>
        <w:numPr>
          <w:ilvl w:val="0"/>
          <w:numId w:val="17"/>
        </w:numPr>
        <w:spacing w:after="0" w:line="240" w:lineRule="auto"/>
        <w:ind w:left="1287"/>
      </w:pPr>
      <w:r w:rsidRPr="00AC1A35">
        <w:t>X=4 slots for SCS 480 kHz</w:t>
      </w:r>
    </w:p>
    <w:p w14:paraId="2939996C" w14:textId="77777777" w:rsidR="00152C73" w:rsidRPr="00AC1A35" w:rsidRDefault="00152C73" w:rsidP="00A702E8">
      <w:pPr>
        <w:numPr>
          <w:ilvl w:val="0"/>
          <w:numId w:val="17"/>
        </w:numPr>
        <w:spacing w:after="0" w:line="240" w:lineRule="auto"/>
        <w:ind w:left="1287"/>
      </w:pPr>
      <w:r w:rsidRPr="00AC1A35">
        <w:t>X=8 slots for SCS 960 kHz</w:t>
      </w:r>
    </w:p>
    <w:p w14:paraId="13F673CD" w14:textId="77777777" w:rsidR="00135225" w:rsidRDefault="00135225" w:rsidP="00135225">
      <w:pPr>
        <w:spacing w:before="120" w:after="120"/>
        <w:ind w:left="567"/>
        <w:rPr>
          <w:lang w:eastAsia="x-none"/>
        </w:rPr>
      </w:pPr>
      <w:r w:rsidRPr="00342C2D">
        <w:rPr>
          <w:highlight w:val="green"/>
          <w:lang w:eastAsia="x-none"/>
        </w:rPr>
        <w:t>Agreement:</w:t>
      </w:r>
    </w:p>
    <w:p w14:paraId="70C5332C" w14:textId="77777777" w:rsidR="00135225" w:rsidRPr="00342C2D" w:rsidRDefault="00135225" w:rsidP="00A702E8">
      <w:pPr>
        <w:numPr>
          <w:ilvl w:val="0"/>
          <w:numId w:val="17"/>
        </w:numPr>
        <w:spacing w:after="0" w:line="240" w:lineRule="auto"/>
        <w:ind w:left="1287"/>
      </w:pPr>
      <w:r w:rsidRPr="00342C2D">
        <w:t>A UE supporting 480 kHz SCS supports multi-slot PDCCH monitoring for 480 kHz SCS.</w:t>
      </w:r>
    </w:p>
    <w:p w14:paraId="58491C90" w14:textId="77777777" w:rsidR="00135225" w:rsidRPr="00342C2D" w:rsidRDefault="00135225" w:rsidP="00A702E8">
      <w:pPr>
        <w:numPr>
          <w:ilvl w:val="0"/>
          <w:numId w:val="17"/>
        </w:numPr>
        <w:spacing w:after="0" w:line="240" w:lineRule="auto"/>
        <w:ind w:left="1287"/>
      </w:pPr>
      <w:r w:rsidRPr="00342C2D">
        <w:t>A UE supporting 960 kHz SCS supports multi-slot PDCCH monitoring for 960 kHz SCS.</w:t>
      </w:r>
    </w:p>
    <w:p w14:paraId="07D9AAA4" w14:textId="77777777" w:rsidR="00135225" w:rsidRDefault="00135225" w:rsidP="00A702E8">
      <w:pPr>
        <w:numPr>
          <w:ilvl w:val="0"/>
          <w:numId w:val="17"/>
        </w:numPr>
        <w:spacing w:after="240" w:line="240" w:lineRule="auto"/>
        <w:ind w:left="1282"/>
      </w:pPr>
      <w:r w:rsidRPr="00342C2D">
        <w:t xml:space="preserve">FFS: whether to apply multi-slot PDCCH </w:t>
      </w:r>
      <w:proofErr w:type="gramStart"/>
      <w:r w:rsidRPr="00342C2D">
        <w:t>monitoring at all times</w:t>
      </w:r>
      <w:proofErr w:type="gramEnd"/>
      <w:r w:rsidRPr="00342C2D">
        <w:t xml:space="preserve"> and for all search spaces.</w:t>
      </w:r>
    </w:p>
    <w:p w14:paraId="025A4C2C" w14:textId="3C1C5418" w:rsidR="007E304A" w:rsidRDefault="0013172E" w:rsidP="00394451">
      <w:pPr>
        <w:pStyle w:val="BodyText"/>
      </w:pPr>
      <w:r>
        <w:t>I</w:t>
      </w:r>
      <w:r w:rsidR="00075F91">
        <w:t xml:space="preserve">t was </w:t>
      </w:r>
      <w:r>
        <w:t xml:space="preserve">also </w:t>
      </w:r>
      <w:r w:rsidR="00075F91">
        <w:t>agreed in RAN1 #10</w:t>
      </w:r>
      <w:r w:rsidR="00110DDC">
        <w:t>6</w:t>
      </w:r>
      <w:r w:rsidR="00EF0D71">
        <w:t>b</w:t>
      </w:r>
      <w:r w:rsidR="00075F91">
        <w:t>-e</w:t>
      </w:r>
    </w:p>
    <w:p w14:paraId="6359750A" w14:textId="77777777" w:rsidR="00157C8B" w:rsidRDefault="00157C8B" w:rsidP="00124DD9">
      <w:pPr>
        <w:ind w:left="360"/>
        <w:rPr>
          <w:lang w:eastAsia="x-none"/>
        </w:rPr>
      </w:pPr>
      <w:r w:rsidRPr="00DF0C18">
        <w:rPr>
          <w:highlight w:val="green"/>
          <w:lang w:eastAsia="x-none"/>
        </w:rPr>
        <w:t>Agreement:</w:t>
      </w:r>
    </w:p>
    <w:p w14:paraId="79EBDF1D" w14:textId="77777777" w:rsidR="00157C8B" w:rsidRPr="00392E7D" w:rsidRDefault="00157C8B" w:rsidP="00A702E8">
      <w:pPr>
        <w:numPr>
          <w:ilvl w:val="0"/>
          <w:numId w:val="24"/>
        </w:numPr>
        <w:spacing w:after="0" w:line="240" w:lineRule="auto"/>
        <w:ind w:left="1080"/>
        <w:rPr>
          <w:b/>
          <w:bCs/>
          <w:lang w:eastAsia="x-none"/>
        </w:rPr>
      </w:pPr>
      <w:r w:rsidRPr="00392E7D">
        <w:rPr>
          <w:lang w:eastAsia="x-none"/>
        </w:rPr>
        <w:t>Multi-slot PDCCH monitoring is based on slots within a slot group</w:t>
      </w:r>
    </w:p>
    <w:p w14:paraId="68DB5D9C" w14:textId="77777777" w:rsidR="00157C8B" w:rsidRPr="00392E7D" w:rsidRDefault="00157C8B" w:rsidP="00A702E8">
      <w:pPr>
        <w:numPr>
          <w:ilvl w:val="1"/>
          <w:numId w:val="24"/>
        </w:numPr>
        <w:spacing w:after="0" w:line="240" w:lineRule="auto"/>
        <w:ind w:left="1800"/>
        <w:rPr>
          <w:lang w:eastAsia="x-none"/>
        </w:rPr>
      </w:pPr>
      <w:r w:rsidRPr="00392E7D">
        <w:rPr>
          <w:lang w:eastAsia="x-none"/>
        </w:rPr>
        <w:t>Each slot group consists of X consecutive slots</w:t>
      </w:r>
    </w:p>
    <w:p w14:paraId="42A31019" w14:textId="77777777" w:rsidR="00157C8B" w:rsidRPr="00392E7D" w:rsidRDefault="00157C8B" w:rsidP="00A702E8">
      <w:pPr>
        <w:numPr>
          <w:ilvl w:val="2"/>
          <w:numId w:val="24"/>
        </w:numPr>
        <w:spacing w:after="0" w:line="240" w:lineRule="auto"/>
        <w:ind w:left="2520"/>
        <w:rPr>
          <w:lang w:eastAsia="x-none"/>
        </w:rPr>
      </w:pPr>
      <w:r w:rsidRPr="00392E7D">
        <w:rPr>
          <w:lang w:eastAsia="x-none"/>
        </w:rPr>
        <w:t>Slot groups are consecutive and non-overlapping</w:t>
      </w:r>
    </w:p>
    <w:p w14:paraId="04AD748A" w14:textId="77777777" w:rsidR="00157C8B" w:rsidRPr="00392E7D" w:rsidRDefault="00157C8B" w:rsidP="00A702E8">
      <w:pPr>
        <w:numPr>
          <w:ilvl w:val="2"/>
          <w:numId w:val="24"/>
        </w:numPr>
        <w:spacing w:after="0" w:line="240" w:lineRule="auto"/>
        <w:ind w:left="2520"/>
        <w:rPr>
          <w:lang w:eastAsia="x-none"/>
        </w:rPr>
      </w:pPr>
      <w:r w:rsidRPr="00392E7D">
        <w:rPr>
          <w:lang w:eastAsia="x-none"/>
        </w:rPr>
        <w:t>The start of the first slot group in a subframe is aligned with the subframe boundary</w:t>
      </w:r>
    </w:p>
    <w:p w14:paraId="0D5C835D" w14:textId="77777777" w:rsidR="00157C8B" w:rsidRPr="00392E7D" w:rsidRDefault="00157C8B" w:rsidP="00A702E8">
      <w:pPr>
        <w:numPr>
          <w:ilvl w:val="2"/>
          <w:numId w:val="24"/>
        </w:numPr>
        <w:spacing w:after="0" w:line="240" w:lineRule="auto"/>
        <w:ind w:left="2520"/>
        <w:rPr>
          <w:lang w:eastAsia="x-none"/>
        </w:rPr>
      </w:pPr>
      <w:r w:rsidRPr="00392E7D">
        <w:rPr>
          <w:lang w:eastAsia="x-none"/>
        </w:rPr>
        <w:t>The start of each slot group is aligned with a slot boundary</w:t>
      </w:r>
    </w:p>
    <w:p w14:paraId="3128473A" w14:textId="77777777" w:rsidR="00157C8B" w:rsidRDefault="00157C8B" w:rsidP="00A702E8">
      <w:pPr>
        <w:numPr>
          <w:ilvl w:val="2"/>
          <w:numId w:val="24"/>
        </w:numPr>
        <w:spacing w:after="0" w:line="240" w:lineRule="auto"/>
        <w:ind w:left="2520"/>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714137A3" w14:textId="77777777" w:rsidR="00157C8B" w:rsidRPr="00392E7D" w:rsidRDefault="00157C8B" w:rsidP="00A702E8">
      <w:pPr>
        <w:numPr>
          <w:ilvl w:val="0"/>
          <w:numId w:val="24"/>
        </w:numPr>
        <w:spacing w:after="0" w:line="240" w:lineRule="auto"/>
        <w:ind w:left="1080"/>
        <w:rPr>
          <w:lang w:eastAsia="x-none"/>
        </w:rPr>
      </w:pPr>
      <w:r>
        <w:rPr>
          <w:lang w:eastAsia="x-none"/>
        </w:rPr>
        <w:t>There is a common BD budget for all search spaces</w:t>
      </w:r>
    </w:p>
    <w:p w14:paraId="6E005190" w14:textId="77777777" w:rsidR="00157C8B" w:rsidRDefault="00157C8B" w:rsidP="00A702E8">
      <w:pPr>
        <w:numPr>
          <w:ilvl w:val="0"/>
          <w:numId w:val="24"/>
        </w:numPr>
        <w:spacing w:after="0" w:line="240" w:lineRule="auto"/>
        <w:ind w:left="1080"/>
        <w:rPr>
          <w:lang w:eastAsia="x-none"/>
        </w:rPr>
      </w:pPr>
      <w:r>
        <w:rPr>
          <w:lang w:eastAsia="x-none"/>
        </w:rPr>
        <w:t xml:space="preserve">FFS: </w:t>
      </w:r>
      <w:r w:rsidRPr="00392E7D">
        <w:rPr>
          <w:lang w:eastAsia="x-none"/>
        </w:rPr>
        <w:t>Search space configuration</w:t>
      </w:r>
    </w:p>
    <w:p w14:paraId="1D45EA24" w14:textId="77777777" w:rsidR="00157C8B" w:rsidRPr="00392E7D" w:rsidRDefault="00157C8B" w:rsidP="00A702E8">
      <w:pPr>
        <w:numPr>
          <w:ilvl w:val="1"/>
          <w:numId w:val="24"/>
        </w:numPr>
        <w:spacing w:after="0" w:line="240" w:lineRule="auto"/>
        <w:ind w:left="1800"/>
        <w:rPr>
          <w:lang w:eastAsia="x-none"/>
        </w:rPr>
      </w:pPr>
      <w:r w:rsidRPr="00392E7D">
        <w:rPr>
          <w:rFonts w:hint="eastAsia"/>
          <w:lang w:eastAsia="x-none"/>
        </w:rPr>
        <w:t>F</w:t>
      </w:r>
      <w:r w:rsidRPr="00392E7D">
        <w:rPr>
          <w:lang w:eastAsia="x-none"/>
        </w:rPr>
        <w:t>or Group (1) SS</w:t>
      </w:r>
    </w:p>
    <w:p w14:paraId="1E341F0D" w14:textId="77777777" w:rsidR="00157C8B" w:rsidRPr="00392E7D" w:rsidRDefault="00157C8B" w:rsidP="00A702E8">
      <w:pPr>
        <w:numPr>
          <w:ilvl w:val="2"/>
          <w:numId w:val="24"/>
        </w:numPr>
        <w:spacing w:after="0" w:line="240" w:lineRule="auto"/>
        <w:ind w:left="2520"/>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5098037F" w14:textId="77777777" w:rsidR="00157C8B" w:rsidRPr="00392E7D" w:rsidRDefault="00157C8B" w:rsidP="00A702E8">
      <w:pPr>
        <w:numPr>
          <w:ilvl w:val="2"/>
          <w:numId w:val="24"/>
        </w:numPr>
        <w:spacing w:after="0" w:line="240" w:lineRule="auto"/>
        <w:ind w:left="2520"/>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based on a time offset within the slot group based on slot index n0 determined for Group (2) monitoring such that the Y</w:t>
      </w:r>
      <w:r w:rsidRPr="00392E7D">
        <w:rPr>
          <w:vertAlign w:val="subscript"/>
          <w:lang w:eastAsia="x-none"/>
        </w:rPr>
        <w:t>Group1</w:t>
      </w:r>
      <w:r w:rsidRPr="00392E7D">
        <w:rPr>
          <w:lang w:eastAsia="x-none"/>
        </w:rPr>
        <w:t xml:space="preserve"> slots overlap the Y</w:t>
      </w:r>
      <w:r w:rsidRPr="00392E7D">
        <w:rPr>
          <w:vertAlign w:val="subscript"/>
          <w:lang w:eastAsia="x-none"/>
        </w:rPr>
        <w:t>Group2</w:t>
      </w:r>
      <w:r w:rsidRPr="00392E7D">
        <w:rPr>
          <w:lang w:eastAsia="x-none"/>
        </w:rPr>
        <w:t xml:space="preserve"> slots</w:t>
      </w:r>
    </w:p>
    <w:p w14:paraId="72CB0DCE" w14:textId="77777777" w:rsidR="00157C8B" w:rsidRPr="00392E7D" w:rsidRDefault="00157C8B" w:rsidP="00A702E8">
      <w:pPr>
        <w:numPr>
          <w:ilvl w:val="2"/>
          <w:numId w:val="24"/>
        </w:numPr>
        <w:spacing w:after="0" w:line="240" w:lineRule="auto"/>
        <w:ind w:left="2520"/>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maintained across different slot groups (unless n0 changes)</w:t>
      </w:r>
    </w:p>
    <w:p w14:paraId="72DD7C89" w14:textId="77777777" w:rsidR="00157C8B" w:rsidRPr="00392E7D" w:rsidRDefault="00157C8B" w:rsidP="00A702E8">
      <w:pPr>
        <w:numPr>
          <w:ilvl w:val="2"/>
          <w:numId w:val="24"/>
        </w:numPr>
        <w:spacing w:after="0" w:line="240" w:lineRule="auto"/>
        <w:ind w:left="2520"/>
        <w:rPr>
          <w:lang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35FF98C5" w14:textId="77777777" w:rsidR="00157C8B" w:rsidRPr="00392E7D" w:rsidRDefault="00157C8B" w:rsidP="00A702E8">
      <w:pPr>
        <w:numPr>
          <w:ilvl w:val="1"/>
          <w:numId w:val="24"/>
        </w:numPr>
        <w:spacing w:after="0" w:line="240" w:lineRule="auto"/>
        <w:ind w:left="1800"/>
        <w:rPr>
          <w:lang w:eastAsia="x-none"/>
        </w:rPr>
      </w:pPr>
      <w:r w:rsidRPr="00392E7D">
        <w:rPr>
          <w:rFonts w:hint="eastAsia"/>
          <w:lang w:eastAsia="x-none"/>
        </w:rPr>
        <w:lastRenderedPageBreak/>
        <w:t>F</w:t>
      </w:r>
      <w:r w:rsidRPr="00392E7D">
        <w:rPr>
          <w:lang w:eastAsia="x-none"/>
        </w:rPr>
        <w:t>or Group (2) SS</w:t>
      </w:r>
    </w:p>
    <w:p w14:paraId="299480EE" w14:textId="77777777" w:rsidR="00157C8B" w:rsidRPr="00392E7D" w:rsidRDefault="00157C8B" w:rsidP="00A702E8">
      <w:pPr>
        <w:numPr>
          <w:ilvl w:val="2"/>
          <w:numId w:val="24"/>
        </w:numPr>
        <w:spacing w:after="0" w:line="240" w:lineRule="auto"/>
        <w:ind w:left="2520"/>
        <w:rPr>
          <w:lang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4122E940" w14:textId="77777777" w:rsidR="00157C8B" w:rsidRPr="00392E7D" w:rsidRDefault="00157C8B" w:rsidP="00A702E8">
      <w:pPr>
        <w:numPr>
          <w:ilvl w:val="2"/>
          <w:numId w:val="24"/>
        </w:numPr>
        <w:spacing w:after="0" w:line="240" w:lineRule="auto"/>
        <w:ind w:left="2520"/>
        <w:rPr>
          <w:lang w:eastAsia="x-none"/>
        </w:rPr>
      </w:pPr>
      <w:r w:rsidRPr="00392E7D">
        <w:rPr>
          <w:lang w:eastAsia="x-none"/>
        </w:rPr>
        <w:t>The location of the Y</w:t>
      </w:r>
      <w:r w:rsidRPr="00392E7D">
        <w:rPr>
          <w:vertAlign w:val="subscript"/>
          <w:lang w:eastAsia="x-none"/>
        </w:rPr>
        <w:t>Group2</w:t>
      </w:r>
      <w:r w:rsidRPr="00392E7D">
        <w:rPr>
          <w:lang w:eastAsia="x-none"/>
        </w:rPr>
        <w:t xml:space="preserve"> consecutive slots within a slot group of X slots is maintained across different slot groups (unless n0 changes)</w:t>
      </w:r>
    </w:p>
    <w:p w14:paraId="735B1E54" w14:textId="77777777" w:rsidR="00157C8B" w:rsidRPr="00392E7D" w:rsidRDefault="00157C8B" w:rsidP="00A702E8">
      <w:pPr>
        <w:numPr>
          <w:ilvl w:val="1"/>
          <w:numId w:val="24"/>
        </w:numPr>
        <w:spacing w:after="0" w:line="240" w:lineRule="auto"/>
        <w:ind w:left="1800"/>
        <w:rPr>
          <w:lang w:eastAsia="x-none"/>
        </w:rPr>
      </w:pPr>
      <w:r w:rsidRPr="00392E7D">
        <w:rPr>
          <w:lang w:eastAsia="x-none"/>
        </w:rPr>
        <w:t>The reported capability indicates the BD/CCE budget within Y=</w:t>
      </w:r>
      <w:proofErr w:type="gramStart"/>
      <w:r w:rsidRPr="00392E7D">
        <w:rPr>
          <w:lang w:eastAsia="x-none"/>
        </w:rPr>
        <w:t>max(</w:t>
      </w:r>
      <w:proofErr w:type="gramEnd"/>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 slots per slot group</w:t>
      </w:r>
    </w:p>
    <w:p w14:paraId="09A773CE" w14:textId="77777777" w:rsidR="00157C8B" w:rsidRPr="00392E7D" w:rsidRDefault="00157C8B" w:rsidP="00A702E8">
      <w:pPr>
        <w:numPr>
          <w:ilvl w:val="1"/>
          <w:numId w:val="24"/>
        </w:numPr>
        <w:spacing w:after="0" w:line="240" w:lineRule="auto"/>
        <w:ind w:left="1800"/>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78125FE7" w14:textId="77777777" w:rsidR="00157C8B" w:rsidRPr="00392E7D" w:rsidRDefault="00157C8B" w:rsidP="00A702E8">
      <w:pPr>
        <w:numPr>
          <w:ilvl w:val="2"/>
          <w:numId w:val="24"/>
        </w:numPr>
        <w:spacing w:after="0" w:line="240" w:lineRule="auto"/>
        <w:ind w:left="2520"/>
        <w:rPr>
          <w:lang w:eastAsia="x-none"/>
        </w:rPr>
      </w:pPr>
      <w:r w:rsidRPr="00392E7D">
        <w:rPr>
          <w:lang w:eastAsia="x-none"/>
        </w:rPr>
        <w:t>For X=8: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(4,2), (2,2), (1,[1 or 2])</w:t>
      </w:r>
    </w:p>
    <w:p w14:paraId="73F6185A" w14:textId="77777777" w:rsidR="00157C8B" w:rsidRPr="00392E7D" w:rsidRDefault="00157C8B" w:rsidP="00A702E8">
      <w:pPr>
        <w:numPr>
          <w:ilvl w:val="2"/>
          <w:numId w:val="24"/>
        </w:numPr>
        <w:spacing w:after="0" w:line="240" w:lineRule="auto"/>
        <w:ind w:left="2520"/>
        <w:rPr>
          <w:lang w:eastAsia="x-none"/>
        </w:rPr>
      </w:pPr>
      <w:r w:rsidRPr="00392E7D">
        <w:rPr>
          <w:lang w:eastAsia="x-none"/>
        </w:rPr>
        <w:t>For X=4: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(2,2), (1,[1 or 2])</w:t>
      </w:r>
    </w:p>
    <w:p w14:paraId="43112337" w14:textId="77777777" w:rsidR="00157C8B" w:rsidRDefault="00157C8B" w:rsidP="00A702E8">
      <w:pPr>
        <w:numPr>
          <w:ilvl w:val="2"/>
          <w:numId w:val="24"/>
        </w:numPr>
        <w:spacing w:after="0" w:line="240" w:lineRule="auto"/>
        <w:ind w:left="2520"/>
        <w:rPr>
          <w:lang w:eastAsia="x-none"/>
        </w:rPr>
      </w:pPr>
      <w:r w:rsidRPr="00392E7D">
        <w:rPr>
          <w:lang w:eastAsia="x-none"/>
        </w:rPr>
        <w:t>For X=2: (Y</w:t>
      </w:r>
      <w:r w:rsidRPr="00392E7D">
        <w:rPr>
          <w:vertAlign w:val="subscript"/>
          <w:lang w:eastAsia="x-none"/>
        </w:rPr>
        <w:t>Group</w:t>
      </w:r>
      <w:proofErr w:type="gramStart"/>
      <w:r w:rsidRPr="00392E7D">
        <w:rPr>
          <w:vertAlign w:val="subscript"/>
          <w:lang w:eastAsia="x-none"/>
        </w:rPr>
        <w:t>1</w:t>
      </w:r>
      <w:r w:rsidRPr="00392E7D">
        <w:rPr>
          <w:lang w:eastAsia="x-none"/>
        </w:rPr>
        <w:t>,Y</w:t>
      </w:r>
      <w:r w:rsidRPr="00392E7D">
        <w:rPr>
          <w:vertAlign w:val="subscript"/>
          <w:lang w:eastAsia="x-none"/>
        </w:rPr>
        <w:t>Group</w:t>
      </w:r>
      <w:proofErr w:type="gramEnd"/>
      <w:r w:rsidRPr="00392E7D">
        <w:rPr>
          <w:vertAlign w:val="subscript"/>
          <w:lang w:eastAsia="x-none"/>
        </w:rPr>
        <w:t>2</w:t>
      </w:r>
      <w:r w:rsidRPr="00392E7D">
        <w:rPr>
          <w:lang w:eastAsia="x-none"/>
        </w:rPr>
        <w:t>) = (1,[1 or 2])</w:t>
      </w:r>
    </w:p>
    <w:p w14:paraId="0380CBD4" w14:textId="77777777" w:rsidR="00157C8B" w:rsidRDefault="00157C8B" w:rsidP="00A702E8">
      <w:pPr>
        <w:numPr>
          <w:ilvl w:val="1"/>
          <w:numId w:val="24"/>
        </w:numPr>
        <w:spacing w:after="0" w:line="240" w:lineRule="auto"/>
        <w:ind w:left="1800"/>
        <w:rPr>
          <w:lang w:eastAsia="x-none"/>
        </w:rPr>
      </w:pPr>
      <w:r w:rsidRPr="00392E7D">
        <w:rPr>
          <w:lang w:eastAsia="x-none"/>
        </w:rPr>
        <w:t>Group (1) SS: Type 1 CSS with dedicated RRC configuration and type 3 CSS, UE specific SS</w:t>
      </w:r>
    </w:p>
    <w:p w14:paraId="7F182521" w14:textId="77777777" w:rsidR="00157C8B" w:rsidRPr="00392E7D" w:rsidRDefault="00157C8B" w:rsidP="00A702E8">
      <w:pPr>
        <w:numPr>
          <w:ilvl w:val="1"/>
          <w:numId w:val="24"/>
        </w:numPr>
        <w:spacing w:after="0" w:line="240" w:lineRule="auto"/>
        <w:ind w:left="1800"/>
        <w:rPr>
          <w:lang w:eastAsia="x-none"/>
        </w:rPr>
      </w:pPr>
      <w:r w:rsidRPr="00392E7D">
        <w:rPr>
          <w:lang w:eastAsia="x-none"/>
        </w:rPr>
        <w:t>Group (2) SS: Type 1 CSS without dedicated RRC configuration and type 0, 0A, and 2 CSS</w:t>
      </w:r>
    </w:p>
    <w:p w14:paraId="25D2F835" w14:textId="2988DAC7" w:rsidR="00157C8B" w:rsidRDefault="00157C8B" w:rsidP="00394451">
      <w:pPr>
        <w:pStyle w:val="BodyText"/>
      </w:pPr>
    </w:p>
    <w:p w14:paraId="56953F62" w14:textId="1933EE21" w:rsidR="008A4749" w:rsidRDefault="003E33A4" w:rsidP="008A4749">
      <w:pPr>
        <w:pStyle w:val="BodyText"/>
      </w:pPr>
      <w:r w:rsidRPr="003E33A4">
        <w:t>In this contribution,</w:t>
      </w:r>
      <w:r>
        <w:t xml:space="preserve"> we first </w:t>
      </w:r>
      <w:r w:rsidR="009C34C8">
        <w:t xml:space="preserve">explore </w:t>
      </w:r>
      <w:r w:rsidR="00220791">
        <w:t xml:space="preserve">the solutions to support multi-slot PDCCH </w:t>
      </w:r>
      <w:r w:rsidR="0014122C">
        <w:t>monitoring.</w:t>
      </w:r>
      <w:r w:rsidR="002E178D">
        <w:t xml:space="preserve"> We then discuss other aspect</w:t>
      </w:r>
      <w:r w:rsidR="002B1C2A">
        <w:t>s of PDCCH monitoring in the FR2-2 bands.</w:t>
      </w:r>
    </w:p>
    <w:p w14:paraId="19EFBA2B" w14:textId="7DA61C5A" w:rsidR="00B46565" w:rsidRDefault="008B506A" w:rsidP="00A27B63">
      <w:pPr>
        <w:pStyle w:val="Heading1"/>
      </w:pPr>
      <w:bookmarkStart w:id="2" w:name="_Toc67653038"/>
      <w:bookmarkStart w:id="3" w:name="_Toc86845004"/>
      <w:r>
        <w:t>2</w:t>
      </w:r>
      <w:r>
        <w:tab/>
      </w:r>
      <w:r w:rsidR="00B46565">
        <w:t>Discussion</w:t>
      </w:r>
      <w:bookmarkEnd w:id="2"/>
      <w:bookmarkEnd w:id="3"/>
    </w:p>
    <w:p w14:paraId="6D7B0E17" w14:textId="7843274D" w:rsidR="0081317A" w:rsidRDefault="0081317A" w:rsidP="0081317A">
      <w:pPr>
        <w:pStyle w:val="Heading2"/>
      </w:pPr>
      <w:bookmarkStart w:id="4" w:name="_Toc86845005"/>
      <w:r>
        <w:t>2.1</w:t>
      </w:r>
      <w:r>
        <w:tab/>
      </w:r>
      <w:r w:rsidRPr="0081317A">
        <w:t>Multi-slot PDCCH monitoring capability definition</w:t>
      </w:r>
      <w:bookmarkEnd w:id="4"/>
      <w:r w:rsidR="007F33DC">
        <w:t xml:space="preserve"> </w:t>
      </w:r>
      <w:r w:rsidR="003671C6">
        <w:t>(</w:t>
      </w:r>
      <w:r w:rsidR="002007D6">
        <w:t xml:space="preserve">based on </w:t>
      </w:r>
      <w:r w:rsidR="003671C6">
        <w:t>RAN1#106bis-e Agreement)</w:t>
      </w:r>
    </w:p>
    <w:p w14:paraId="04FD8744" w14:textId="646A75DF" w:rsidR="00A702E8" w:rsidRDefault="00A702E8" w:rsidP="00A702E8">
      <w:pPr>
        <w:rPr>
          <w:lang w:val="en-GB" w:eastAsia="ja-JP"/>
        </w:rPr>
      </w:pPr>
      <w:r>
        <w:rPr>
          <w:lang w:val="en-GB" w:eastAsia="ja-JP"/>
        </w:rPr>
        <w:t xml:space="preserve">In Rel-15/16, </w:t>
      </w:r>
      <w:r w:rsidR="00503B64">
        <w:rPr>
          <w:lang w:val="en-GB" w:eastAsia="ja-JP"/>
        </w:rPr>
        <w:t xml:space="preserve">the monitoring occasions of </w:t>
      </w:r>
      <w:r>
        <w:rPr>
          <w:lang w:val="en-GB" w:eastAsia="ja-JP"/>
        </w:rPr>
        <w:t xml:space="preserve">a search space </w:t>
      </w:r>
      <m:oMath>
        <m:r>
          <w:rPr>
            <w:rFonts w:ascii="Cambria Math" w:hAnsi="Cambria Math"/>
            <w:lang w:val="en-GB" w:eastAsia="ja-JP"/>
          </w:rPr>
          <m:t>s</m:t>
        </m:r>
      </m:oMath>
      <w:r>
        <w:rPr>
          <w:lang w:val="en-GB" w:eastAsia="ja-JP"/>
        </w:rPr>
        <w:t xml:space="preserve"> </w:t>
      </w:r>
      <w:r w:rsidR="00503B64">
        <w:rPr>
          <w:lang w:val="en-GB" w:eastAsia="ja-JP"/>
        </w:rPr>
        <w:t>are</w:t>
      </w:r>
      <w:r>
        <w:rPr>
          <w:lang w:val="en-GB" w:eastAsia="ja-JP"/>
        </w:rPr>
        <w:t xml:space="preserve"> configured via </w:t>
      </w:r>
      <w:r w:rsidR="00503B64">
        <w:rPr>
          <w:lang w:val="en-GB" w:eastAsia="ja-JP"/>
        </w:rPr>
        <w:t xml:space="preserve">the following </w:t>
      </w:r>
      <w:r>
        <w:rPr>
          <w:lang w:val="en-GB" w:eastAsia="ja-JP"/>
        </w:rPr>
        <w:t>three RRC fields</w:t>
      </w:r>
      <w:r w:rsidR="00E07C40">
        <w:rPr>
          <w:lang w:val="en-GB" w:eastAsia="ja-JP"/>
        </w:rPr>
        <w:t>:</w:t>
      </w:r>
    </w:p>
    <w:p w14:paraId="0D3AE717"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SearchSpace ::=                         </w:t>
      </w:r>
      <w:r w:rsidRPr="004E1FDF">
        <w:rPr>
          <w:rFonts w:ascii="Courier New" w:eastAsia="Times New Roman" w:hAnsi="Courier New" w:cs="Times New Roman"/>
          <w:noProof/>
          <w:color w:val="993366"/>
          <w:sz w:val="16"/>
          <w:szCs w:val="20"/>
          <w:lang w:val="en-GB" w:eastAsia="en-GB"/>
        </w:rPr>
        <w:t>SEQUENCE</w:t>
      </w:r>
      <w:r w:rsidRPr="004E1FDF">
        <w:rPr>
          <w:rFonts w:ascii="Courier New" w:eastAsia="Times New Roman" w:hAnsi="Courier New" w:cs="Times New Roman"/>
          <w:noProof/>
          <w:sz w:val="16"/>
          <w:szCs w:val="20"/>
          <w:lang w:val="en-GB" w:eastAsia="en-GB"/>
        </w:rPr>
        <w:t xml:space="preserve"> {</w:t>
      </w:r>
    </w:p>
    <w:p w14:paraId="27C0175A" w14:textId="77777777" w:rsidR="00A702E8"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w:t>
      </w:r>
    </w:p>
    <w:p w14:paraId="0F4CA1CD"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b/>
          <w:bCs/>
          <w:noProof/>
          <w:sz w:val="18"/>
          <w:lang w:val="en-GB" w:eastAsia="en-GB"/>
        </w:rPr>
        <w:t>monitoringSlotPeriodicityAndOffset</w:t>
      </w:r>
      <w:r w:rsidRPr="004E1FDF">
        <w:rPr>
          <w:rFonts w:ascii="Courier New" w:eastAsia="Times New Roman" w:hAnsi="Courier New" w:cs="Times New Roman"/>
          <w:noProof/>
          <w:sz w:val="18"/>
          <w:lang w:val="en-GB" w:eastAsia="en-GB"/>
        </w:rPr>
        <w:t xml:space="preserve">      </w:t>
      </w:r>
      <w:r w:rsidRPr="004E1FDF">
        <w:rPr>
          <w:rFonts w:ascii="Courier New" w:eastAsia="Times New Roman" w:hAnsi="Courier New" w:cs="Times New Roman"/>
          <w:noProof/>
          <w:color w:val="993366"/>
          <w:sz w:val="16"/>
          <w:szCs w:val="20"/>
          <w:lang w:val="en-GB" w:eastAsia="en-GB"/>
        </w:rPr>
        <w:t>CHOICE</w:t>
      </w:r>
      <w:r w:rsidRPr="004E1FDF">
        <w:rPr>
          <w:rFonts w:ascii="Courier New" w:eastAsia="Times New Roman" w:hAnsi="Courier New" w:cs="Times New Roman"/>
          <w:noProof/>
          <w:sz w:val="16"/>
          <w:szCs w:val="20"/>
          <w:lang w:val="en-GB" w:eastAsia="en-GB"/>
        </w:rPr>
        <w:t xml:space="preserve"> {</w:t>
      </w:r>
    </w:p>
    <w:p w14:paraId="09E8019A"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sl1                                     </w:t>
      </w:r>
      <w:r w:rsidRPr="004E1FDF">
        <w:rPr>
          <w:rFonts w:ascii="Courier New" w:eastAsia="Times New Roman" w:hAnsi="Courier New" w:cs="Times New Roman"/>
          <w:noProof/>
          <w:color w:val="993366"/>
          <w:sz w:val="16"/>
          <w:szCs w:val="20"/>
          <w:lang w:val="en-GB" w:eastAsia="en-GB"/>
        </w:rPr>
        <w:t>NULL</w:t>
      </w:r>
      <w:r w:rsidRPr="004E1FDF">
        <w:rPr>
          <w:rFonts w:ascii="Courier New" w:eastAsia="Times New Roman" w:hAnsi="Courier New" w:cs="Times New Roman"/>
          <w:noProof/>
          <w:sz w:val="16"/>
          <w:szCs w:val="20"/>
          <w:lang w:val="en-GB" w:eastAsia="en-GB"/>
        </w:rPr>
        <w:t>,</w:t>
      </w:r>
    </w:p>
    <w:p w14:paraId="24923967"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sl2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(0..1),</w:t>
      </w:r>
    </w:p>
    <w:p w14:paraId="18B0F0B3"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sl4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(0..3),</w:t>
      </w:r>
    </w:p>
    <w:p w14:paraId="570EB30E"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sl5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(0..4),</w:t>
      </w:r>
    </w:p>
    <w:p w14:paraId="69F80A7B"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sl8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(0..7),</w:t>
      </w:r>
    </w:p>
    <w:p w14:paraId="6BB70E30"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sl10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(0..9),</w:t>
      </w:r>
    </w:p>
    <w:p w14:paraId="68A82ACA"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sl16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(0..15),</w:t>
      </w:r>
    </w:p>
    <w:p w14:paraId="167E8231"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sl20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(0..19),</w:t>
      </w:r>
    </w:p>
    <w:p w14:paraId="0E55607B"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sl40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(0..39),</w:t>
      </w:r>
    </w:p>
    <w:p w14:paraId="7C62F784"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sl80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(0..79),</w:t>
      </w:r>
    </w:p>
    <w:p w14:paraId="7BBE82ED"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sl160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(0..159),</w:t>
      </w:r>
    </w:p>
    <w:p w14:paraId="56B1C797"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sl320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(0..319),</w:t>
      </w:r>
    </w:p>
    <w:p w14:paraId="7D42D1AE"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sl640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(0..639),</w:t>
      </w:r>
    </w:p>
    <w:p w14:paraId="0772FAA6"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sl1280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(0..1279),</w:t>
      </w:r>
    </w:p>
    <w:p w14:paraId="61065E49"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 xml:space="preserve">        sl2560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(0..2559)</w:t>
      </w:r>
    </w:p>
    <w:p w14:paraId="4C5C0843"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color w:val="808080"/>
          <w:sz w:val="16"/>
          <w:szCs w:val="20"/>
          <w:lang w:val="en-GB" w:eastAsia="en-GB"/>
        </w:rPr>
      </w:pPr>
      <w:r w:rsidRPr="004E1FDF">
        <w:rPr>
          <w:rFonts w:ascii="Courier New" w:eastAsia="Times New Roman" w:hAnsi="Courier New" w:cs="Times New Roman"/>
          <w:noProof/>
          <w:sz w:val="16"/>
          <w:szCs w:val="20"/>
          <w:lang w:val="en-GB" w:eastAsia="en-GB"/>
        </w:rPr>
        <w:t xml:space="preserve">}                                                                                                   </w:t>
      </w:r>
    </w:p>
    <w:p w14:paraId="01B5C1D8"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color w:val="808080"/>
          <w:sz w:val="16"/>
          <w:szCs w:val="20"/>
          <w:lang w:val="en-GB" w:eastAsia="en-GB"/>
        </w:rPr>
      </w:pPr>
      <w:r w:rsidRPr="004E1FDF">
        <w:rPr>
          <w:rFonts w:ascii="Courier New" w:eastAsia="Times New Roman" w:hAnsi="Courier New" w:cs="Times New Roman"/>
          <w:b/>
          <w:bCs/>
          <w:noProof/>
          <w:sz w:val="18"/>
          <w:lang w:val="en-GB" w:eastAsia="en-GB"/>
        </w:rPr>
        <w:t>duration</w:t>
      </w:r>
      <w:r w:rsidRPr="004E1FDF">
        <w:rPr>
          <w:rFonts w:ascii="Courier New" w:eastAsia="Times New Roman" w:hAnsi="Courier New" w:cs="Times New Roman"/>
          <w:noProof/>
          <w:sz w:val="18"/>
          <w:lang w:val="en-GB" w:eastAsia="en-GB"/>
        </w:rPr>
        <w:t xml:space="preserve">                                </w:t>
      </w:r>
      <w:r w:rsidRPr="004E1FDF">
        <w:rPr>
          <w:rFonts w:ascii="Courier New" w:eastAsia="Times New Roman" w:hAnsi="Courier New" w:cs="Times New Roman"/>
          <w:noProof/>
          <w:color w:val="993366"/>
          <w:sz w:val="16"/>
          <w:szCs w:val="20"/>
          <w:lang w:val="en-GB" w:eastAsia="en-GB"/>
        </w:rPr>
        <w:t>INTEGER</w:t>
      </w:r>
      <w:r w:rsidRPr="004E1FDF">
        <w:rPr>
          <w:rFonts w:ascii="Courier New" w:eastAsia="Times New Roman" w:hAnsi="Courier New" w:cs="Times New Roman"/>
          <w:noProof/>
          <w:sz w:val="16"/>
          <w:szCs w:val="20"/>
          <w:lang w:val="en-GB" w:eastAsia="en-GB"/>
        </w:rPr>
        <w:t xml:space="preserve"> (2..2559)                                           </w:t>
      </w:r>
    </w:p>
    <w:p w14:paraId="34DA243B"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Times New Roman"/>
          <w:noProof/>
          <w:color w:val="808080"/>
          <w:sz w:val="16"/>
          <w:szCs w:val="20"/>
          <w:lang w:val="en-GB" w:eastAsia="en-GB"/>
        </w:rPr>
      </w:pPr>
      <w:r w:rsidRPr="004E1FDF">
        <w:rPr>
          <w:rFonts w:ascii="Courier New" w:eastAsia="Times New Roman" w:hAnsi="Courier New" w:cs="Times New Roman"/>
          <w:b/>
          <w:bCs/>
          <w:noProof/>
          <w:sz w:val="18"/>
          <w:lang w:val="en-GB" w:eastAsia="en-GB"/>
        </w:rPr>
        <w:t>monitoringSymbolsWithinSlot</w:t>
      </w:r>
      <w:r w:rsidRPr="004E1FDF">
        <w:rPr>
          <w:rFonts w:ascii="Courier New" w:eastAsia="Times New Roman" w:hAnsi="Courier New" w:cs="Times New Roman"/>
          <w:noProof/>
          <w:sz w:val="18"/>
          <w:lang w:val="en-GB" w:eastAsia="en-GB"/>
        </w:rPr>
        <w:t xml:space="preserve">             </w:t>
      </w:r>
      <w:r w:rsidRPr="004E1FDF">
        <w:rPr>
          <w:rFonts w:ascii="Courier New" w:eastAsia="Times New Roman" w:hAnsi="Courier New" w:cs="Times New Roman"/>
          <w:noProof/>
          <w:color w:val="993366"/>
          <w:sz w:val="16"/>
          <w:szCs w:val="20"/>
          <w:lang w:val="en-GB" w:eastAsia="en-GB"/>
        </w:rPr>
        <w:t>BIT</w:t>
      </w:r>
      <w:r w:rsidRPr="004E1FDF">
        <w:rPr>
          <w:rFonts w:ascii="Courier New" w:eastAsia="Times New Roman" w:hAnsi="Courier New" w:cs="Times New Roman"/>
          <w:noProof/>
          <w:sz w:val="16"/>
          <w:szCs w:val="20"/>
          <w:lang w:val="en-GB" w:eastAsia="en-GB"/>
        </w:rPr>
        <w:t xml:space="preserve"> </w:t>
      </w:r>
      <w:r w:rsidRPr="004E1FDF">
        <w:rPr>
          <w:rFonts w:ascii="Courier New" w:eastAsia="Times New Roman" w:hAnsi="Courier New" w:cs="Times New Roman"/>
          <w:noProof/>
          <w:color w:val="993366"/>
          <w:sz w:val="16"/>
          <w:szCs w:val="20"/>
          <w:lang w:val="en-GB" w:eastAsia="en-GB"/>
        </w:rPr>
        <w:t>STRING</w:t>
      </w:r>
      <w:r w:rsidRPr="004E1FDF">
        <w:rPr>
          <w:rFonts w:ascii="Courier New" w:eastAsia="Times New Roman" w:hAnsi="Courier New" w:cs="Times New Roman"/>
          <w:noProof/>
          <w:sz w:val="16"/>
          <w:szCs w:val="20"/>
          <w:lang w:val="en-GB" w:eastAsia="en-GB"/>
        </w:rPr>
        <w:t xml:space="preserve"> (</w:t>
      </w:r>
      <w:r w:rsidRPr="004E1FDF">
        <w:rPr>
          <w:rFonts w:ascii="Courier New" w:eastAsia="Times New Roman" w:hAnsi="Courier New" w:cs="Times New Roman"/>
          <w:noProof/>
          <w:color w:val="993366"/>
          <w:sz w:val="16"/>
          <w:szCs w:val="20"/>
          <w:lang w:val="en-GB" w:eastAsia="en-GB"/>
        </w:rPr>
        <w:t>SIZE</w:t>
      </w:r>
      <w:r w:rsidRPr="004E1FDF">
        <w:rPr>
          <w:rFonts w:ascii="Courier New" w:eastAsia="Times New Roman" w:hAnsi="Courier New" w:cs="Times New Roman"/>
          <w:noProof/>
          <w:sz w:val="16"/>
          <w:szCs w:val="20"/>
          <w:lang w:val="en-GB" w:eastAsia="en-GB"/>
        </w:rPr>
        <w:t xml:space="preserve"> (14))                                      </w:t>
      </w:r>
    </w:p>
    <w:p w14:paraId="2FACBE15" w14:textId="77777777" w:rsidR="00A702E8" w:rsidRPr="004E1FDF" w:rsidRDefault="00A702E8" w:rsidP="00A70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240" w:lineRule="auto"/>
        <w:ind w:firstLine="389"/>
        <w:textAlignment w:val="baseline"/>
        <w:rPr>
          <w:rFonts w:ascii="Courier New" w:eastAsia="Times New Roman" w:hAnsi="Courier New" w:cs="Times New Roman"/>
          <w:noProof/>
          <w:sz w:val="16"/>
          <w:szCs w:val="20"/>
          <w:lang w:val="en-GB" w:eastAsia="en-GB"/>
        </w:rPr>
      </w:pPr>
      <w:r w:rsidRPr="004E1FDF">
        <w:rPr>
          <w:rFonts w:ascii="Courier New" w:eastAsia="Times New Roman" w:hAnsi="Courier New" w:cs="Times New Roman"/>
          <w:noProof/>
          <w:sz w:val="16"/>
          <w:szCs w:val="20"/>
          <w:lang w:val="en-GB" w:eastAsia="en-GB"/>
        </w:rPr>
        <w:t>…</w:t>
      </w:r>
    </w:p>
    <w:p w14:paraId="11050386" w14:textId="77777777" w:rsidR="00A702E8" w:rsidRDefault="00A702E8" w:rsidP="00A702E8">
      <w:pPr>
        <w:rPr>
          <w:lang w:val="en-GB" w:eastAsia="ja-JP"/>
        </w:rPr>
      </w:pPr>
      <w:r>
        <w:rPr>
          <w:lang w:val="en-GB" w:eastAsia="ja-JP"/>
        </w:rPr>
        <w:t>which defines</w:t>
      </w:r>
    </w:p>
    <w:p w14:paraId="0864E1A2" w14:textId="77777777" w:rsidR="00A702E8" w:rsidRPr="00A9596C" w:rsidRDefault="00A702E8" w:rsidP="00A702E8">
      <w:pPr>
        <w:pStyle w:val="ListParagraph"/>
        <w:numPr>
          <w:ilvl w:val="0"/>
          <w:numId w:val="26"/>
        </w:numPr>
        <w:rPr>
          <w:rFonts w:ascii="Arial" w:hAnsi="Arial" w:cs="Arial"/>
          <w:sz w:val="20"/>
          <w:szCs w:val="20"/>
          <w:lang w:val="en-GB" w:eastAsia="ja-JP"/>
        </w:rPr>
      </w:pPr>
      <w:r w:rsidRPr="00A9596C">
        <w:rPr>
          <w:rFonts w:ascii="Arial" w:hAnsi="Arial" w:cs="Arial"/>
          <w:sz w:val="20"/>
          <w:szCs w:val="20"/>
          <w:lang w:val="en-GB" w:eastAsia="ja-JP"/>
        </w:rPr>
        <w:t xml:space="preserve">a PDCCH monitoring periodicity of </w:t>
      </w:r>
      <m:oMath>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s</m:t>
            </m:r>
          </m:sub>
        </m:sSub>
      </m:oMath>
      <w:r w:rsidRPr="00A9596C">
        <w:rPr>
          <w:rFonts w:ascii="Arial" w:hAnsi="Arial" w:cs="Arial"/>
          <w:sz w:val="20"/>
          <w:szCs w:val="20"/>
          <w:lang w:val="en-GB" w:eastAsia="ja-JP"/>
        </w:rPr>
        <w:t xml:space="preserve"> slots and a PDCCH monitoring offset of </w:t>
      </w:r>
      <m:oMath>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o</m:t>
            </m:r>
          </m:e>
          <m:sub>
            <m:r>
              <w:rPr>
                <w:rFonts w:ascii="Cambria Math" w:hAnsi="Cambria Math" w:cs="Arial"/>
                <w:sz w:val="20"/>
                <w:szCs w:val="20"/>
                <w:lang w:val="en-GB" w:eastAsia="ja-JP"/>
              </w:rPr>
              <m:t>s</m:t>
            </m:r>
          </m:sub>
        </m:sSub>
      </m:oMath>
      <w:r w:rsidRPr="00A9596C">
        <w:rPr>
          <w:rFonts w:ascii="Arial" w:hAnsi="Arial" w:cs="Arial"/>
          <w:sz w:val="20"/>
          <w:szCs w:val="20"/>
          <w:lang w:val="en-GB" w:eastAsia="ja-JP"/>
        </w:rPr>
        <w:t xml:space="preserve"> slots, by </w:t>
      </w:r>
      <w:proofErr w:type="spellStart"/>
      <w:r w:rsidRPr="00A9596C">
        <w:rPr>
          <w:rFonts w:ascii="Arial" w:hAnsi="Arial" w:cs="Arial"/>
          <w:i/>
          <w:iCs/>
          <w:sz w:val="20"/>
          <w:szCs w:val="20"/>
          <w:lang w:val="en-GB" w:eastAsia="ja-JP"/>
        </w:rPr>
        <w:t>monitoringSlotPeriodicityAndOffset</w:t>
      </w:r>
      <w:proofErr w:type="spellEnd"/>
    </w:p>
    <w:p w14:paraId="2130AEF0" w14:textId="77777777" w:rsidR="00A702E8" w:rsidRPr="00A9596C" w:rsidRDefault="00A702E8" w:rsidP="00A702E8">
      <w:pPr>
        <w:pStyle w:val="ListParagraph"/>
        <w:numPr>
          <w:ilvl w:val="0"/>
          <w:numId w:val="26"/>
        </w:numPr>
        <w:rPr>
          <w:rFonts w:ascii="Arial" w:hAnsi="Arial" w:cs="Arial"/>
          <w:sz w:val="20"/>
          <w:szCs w:val="20"/>
          <w:lang w:val="en-GB" w:eastAsia="ja-JP"/>
        </w:rPr>
      </w:pPr>
      <w:r w:rsidRPr="00A9596C">
        <w:rPr>
          <w:rFonts w:ascii="Arial" w:hAnsi="Arial" w:cs="Arial"/>
          <w:sz w:val="20"/>
          <w:szCs w:val="20"/>
          <w:lang w:val="en-GB" w:eastAsia="ja-JP"/>
        </w:rPr>
        <w:t xml:space="preserve">a </w:t>
      </w:r>
      <w:r w:rsidRPr="00A9596C">
        <w:rPr>
          <w:rFonts w:ascii="Arial" w:hAnsi="Arial" w:cs="Arial"/>
          <w:i/>
          <w:iCs/>
          <w:sz w:val="20"/>
          <w:szCs w:val="20"/>
          <w:lang w:val="en-GB" w:eastAsia="ja-JP"/>
        </w:rPr>
        <w:t>duration</w:t>
      </w:r>
      <w:r w:rsidRPr="00A9596C">
        <w:rPr>
          <w:rFonts w:ascii="Arial" w:hAnsi="Arial" w:cs="Arial"/>
          <w:sz w:val="20"/>
          <w:szCs w:val="20"/>
          <w:lang w:val="en-GB" w:eastAsia="ja-JP"/>
        </w:rPr>
        <w:t xml:space="preserve"> of </w:t>
      </w:r>
      <m:oMath>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T</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&lt;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s</m:t>
            </m:r>
          </m:sub>
        </m:sSub>
      </m:oMath>
      <w:r w:rsidRPr="00A9596C">
        <w:rPr>
          <w:rFonts w:ascii="Arial" w:hAnsi="Arial" w:cs="Arial"/>
          <w:sz w:val="20"/>
          <w:szCs w:val="20"/>
          <w:lang w:val="en-GB" w:eastAsia="ja-JP"/>
        </w:rPr>
        <w:t xml:space="preserve"> slots indicating </w:t>
      </w:r>
      <w:proofErr w:type="gramStart"/>
      <w:r w:rsidRPr="00A9596C">
        <w:rPr>
          <w:rFonts w:ascii="Arial" w:hAnsi="Arial" w:cs="Arial"/>
          <w:sz w:val="20"/>
          <w:szCs w:val="20"/>
          <w:lang w:val="en-GB" w:eastAsia="ja-JP"/>
        </w:rPr>
        <w:t>a number of</w:t>
      </w:r>
      <w:proofErr w:type="gramEnd"/>
      <w:r w:rsidRPr="00A9596C">
        <w:rPr>
          <w:rFonts w:ascii="Arial" w:hAnsi="Arial" w:cs="Arial"/>
          <w:sz w:val="20"/>
          <w:szCs w:val="20"/>
          <w:lang w:val="en-GB" w:eastAsia="ja-JP"/>
        </w:rPr>
        <w:t xml:space="preserve"> slots that the search space set </w:t>
      </w:r>
      <m:oMath>
        <m:r>
          <w:rPr>
            <w:rFonts w:ascii="Cambria Math" w:hAnsi="Cambria Math" w:cs="Arial"/>
            <w:sz w:val="20"/>
            <w:szCs w:val="20"/>
            <w:lang w:val="en-GB" w:eastAsia="ja-JP"/>
          </w:rPr>
          <m:t>s</m:t>
        </m:r>
      </m:oMath>
      <w:r w:rsidRPr="00A9596C">
        <w:rPr>
          <w:rFonts w:ascii="Arial" w:hAnsi="Arial" w:cs="Arial"/>
          <w:sz w:val="20"/>
          <w:szCs w:val="20"/>
          <w:lang w:val="en-GB" w:eastAsia="ja-JP"/>
        </w:rPr>
        <w:t xml:space="preserve"> exists by duration </w:t>
      </w:r>
    </w:p>
    <w:p w14:paraId="63B3F1AC" w14:textId="77777777" w:rsidR="00A702E8" w:rsidRPr="00A9596C" w:rsidRDefault="00A702E8" w:rsidP="00A702E8">
      <w:pPr>
        <w:pStyle w:val="ListParagraph"/>
        <w:numPr>
          <w:ilvl w:val="0"/>
          <w:numId w:val="26"/>
        </w:numPr>
        <w:spacing w:after="120"/>
        <w:rPr>
          <w:rFonts w:ascii="Arial" w:hAnsi="Arial" w:cs="Arial"/>
          <w:sz w:val="20"/>
          <w:szCs w:val="20"/>
          <w:lang w:val="en-GB" w:eastAsia="ja-JP"/>
        </w:rPr>
      </w:pPr>
      <w:r w:rsidRPr="00A9596C">
        <w:rPr>
          <w:rFonts w:ascii="Arial" w:hAnsi="Arial" w:cs="Arial"/>
          <w:sz w:val="20"/>
          <w:szCs w:val="20"/>
          <w:lang w:val="en-GB" w:eastAsia="ja-JP"/>
        </w:rPr>
        <w:t xml:space="preserve">a PDCCH monitoring pattern within a slot, indicating first symbol(s) of the CORESET within a slot for PDCCH monitoring, by </w:t>
      </w:r>
      <w:proofErr w:type="spellStart"/>
      <w:r w:rsidRPr="00A9596C">
        <w:rPr>
          <w:rFonts w:ascii="Arial" w:hAnsi="Arial" w:cs="Arial"/>
          <w:i/>
          <w:iCs/>
          <w:sz w:val="20"/>
          <w:szCs w:val="20"/>
          <w:lang w:val="en-GB" w:eastAsia="ja-JP"/>
        </w:rPr>
        <w:t>monitoringSymbolsWithinSlot</w:t>
      </w:r>
      <w:proofErr w:type="spellEnd"/>
      <w:r w:rsidRPr="00A9596C">
        <w:rPr>
          <w:rFonts w:ascii="Arial" w:hAnsi="Arial" w:cs="Arial"/>
          <w:sz w:val="20"/>
          <w:szCs w:val="20"/>
          <w:lang w:val="en-GB" w:eastAsia="ja-JP"/>
        </w:rPr>
        <w:t xml:space="preserve"> </w:t>
      </w:r>
    </w:p>
    <w:p w14:paraId="55F431F6" w14:textId="2E0A5309" w:rsidR="001A0EC4" w:rsidRPr="001A0EC4" w:rsidRDefault="00A702E8" w:rsidP="00A702E8">
      <w:pPr>
        <w:rPr>
          <w:rFonts w:eastAsiaTheme="minorEastAsia"/>
          <w:lang w:val="en-GB" w:eastAsia="ja-JP"/>
        </w:rPr>
      </w:pPr>
      <w:r w:rsidRPr="002E0DD3">
        <w:rPr>
          <w:lang w:val="en-GB" w:eastAsia="ja-JP"/>
        </w:rPr>
        <w:t xml:space="preserve">For search space set </w:t>
      </w:r>
      <m:oMath>
        <m:r>
          <w:rPr>
            <w:rFonts w:ascii="Cambria Math" w:hAnsi="Cambria Math"/>
            <w:lang w:val="en-GB" w:eastAsia="ja-JP"/>
          </w:rPr>
          <m:t>s</m:t>
        </m:r>
      </m:oMath>
      <w:r w:rsidRPr="002E0DD3">
        <w:rPr>
          <w:lang w:val="en-GB" w:eastAsia="ja-JP"/>
        </w:rPr>
        <w:t xml:space="preserve">, the UE determines that a PDCCH monitoring occasion(s) exists in a slot with </w:t>
      </w:r>
      <w:r w:rsidR="003671C6">
        <w:rPr>
          <w:lang w:val="en-GB" w:eastAsia="ja-JP"/>
        </w:rPr>
        <w:t>index</w:t>
      </w:r>
      <w:r w:rsidR="003671C6" w:rsidRPr="002E0DD3">
        <w:rPr>
          <w:lang w:val="en-GB" w:eastAsia="ja-JP"/>
        </w:rPr>
        <w:t xml:space="preserve"> </w:t>
      </w:r>
      <m:oMath>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m:t>
            </m:r>
            <m:r>
              <m:rPr>
                <m:sty m:val="p"/>
              </m:rPr>
              <w:rPr>
                <w:rFonts w:ascii="Cambria Math" w:hAnsi="Cambria Math"/>
                <w:lang w:val="en-GB" w:eastAsia="ja-JP"/>
              </w:rPr>
              <m:t>,</m:t>
            </m:r>
            <m:r>
              <w:rPr>
                <w:rFonts w:ascii="Cambria Math" w:hAnsi="Cambria Math"/>
                <w:lang w:val="en-GB" w:eastAsia="ja-JP"/>
              </w:rPr>
              <m:t>f</m:t>
            </m:r>
          </m:sub>
          <m:sup>
            <m:r>
              <w:rPr>
                <w:rFonts w:ascii="Cambria Math" w:hAnsi="Cambria Math"/>
                <w:lang w:val="en-GB" w:eastAsia="ja-JP"/>
              </w:rPr>
              <m:t>μ</m:t>
            </m:r>
          </m:sup>
        </m:sSubSup>
      </m:oMath>
      <w:r w:rsidRPr="002E0DD3">
        <w:rPr>
          <w:lang w:val="en-GB" w:eastAsia="ja-JP"/>
        </w:rPr>
        <w:t xml:space="preserve"> in a frame with </w:t>
      </w:r>
      <w:bookmarkStart w:id="5" w:name="_Hlk52207011"/>
      <w:r w:rsidR="003671C6">
        <w:rPr>
          <w:lang w:val="en-GB" w:eastAsia="ja-JP"/>
        </w:rPr>
        <w:t>index</w:t>
      </w:r>
      <w:r w:rsidR="003671C6" w:rsidRPr="002E0DD3">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f</m:t>
            </m:r>
          </m:sub>
        </m:sSub>
      </m:oMath>
      <w:bookmarkEnd w:id="5"/>
      <w:r w:rsidRPr="002E0DD3">
        <w:rPr>
          <w:lang w:val="en-GB" w:eastAsia="ja-JP"/>
        </w:rPr>
        <w:t xml:space="preserve"> if </w:t>
      </w:r>
    </w:p>
    <w:p w14:paraId="31B4313D" w14:textId="77777777" w:rsidR="001A0EC4" w:rsidRDefault="00415413" w:rsidP="00A702E8">
      <w:pPr>
        <w:rPr>
          <w:rFonts w:eastAsiaTheme="minorEastAsia"/>
          <w:lang w:val="en-GB" w:eastAsia="ja-JP"/>
        </w:rPr>
      </w:pPr>
      <m:oMathPara>
        <m:oMath>
          <m:d>
            <m:dPr>
              <m:ctrlPr>
                <w:rPr>
                  <w:rFonts w:ascii="Cambria Math" w:hAnsi="Cambria Math"/>
                  <w:lang w:val="en-GB" w:eastAsia="ja-JP"/>
                </w:rPr>
              </m:ctrlPr>
            </m:dPr>
            <m:e>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f</m:t>
                  </m:r>
                </m:sub>
              </m:sSub>
              <m:r>
                <m:rPr>
                  <m:sty m:val="p"/>
                </m:rPr>
                <w:rPr>
                  <w:rFonts w:ascii="Cambria Math" w:hAnsi="Cambria Math"/>
                  <w:lang w:val="en-GB" w:eastAsia="ja-JP"/>
                </w:rPr>
                <m:t>⋅</m:t>
              </m:r>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slot</m:t>
                  </m:r>
                  <m:r>
                    <m:rPr>
                      <m:sty m:val="p"/>
                    </m:rPr>
                    <w:rPr>
                      <w:rFonts w:ascii="Cambria Math" w:hAnsi="Cambria Math"/>
                      <w:lang w:val="en-GB" w:eastAsia="ja-JP"/>
                    </w:rPr>
                    <m:t xml:space="preserve"> </m:t>
                  </m:r>
                </m:sub>
                <m:sup>
                  <m:r>
                    <w:rPr>
                      <w:rFonts w:ascii="Cambria Math" w:hAnsi="Cambria Math"/>
                      <w:lang w:val="en-GB" w:eastAsia="ja-JP"/>
                    </w:rPr>
                    <m:t>frame</m:t>
                  </m:r>
                  <m:r>
                    <m:rPr>
                      <m:sty m:val="p"/>
                    </m:rPr>
                    <w:rPr>
                      <w:rFonts w:ascii="Cambria Math" w:hAnsi="Cambria Math"/>
                      <w:lang w:val="en-GB" w:eastAsia="ja-JP"/>
                    </w:rPr>
                    <m:t xml:space="preserve">, </m:t>
                  </m:r>
                  <m:r>
                    <w:rPr>
                      <w:rFonts w:ascii="Cambria Math" w:hAnsi="Cambria Math"/>
                      <w:lang w:val="en-GB" w:eastAsia="ja-JP"/>
                    </w:rPr>
                    <m:t>μ</m:t>
                  </m:r>
                </m:sup>
              </m:sSubSup>
              <m:r>
                <m:rPr>
                  <m:sty m:val="p"/>
                </m:rPr>
                <w:rPr>
                  <w:rFonts w:ascii="Cambria Math" w:hAnsi="Cambria Math"/>
                  <w:lang w:val="en-GB" w:eastAsia="ja-JP"/>
                </w:rPr>
                <m:t xml:space="preserve">+ </m:t>
              </m:r>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m:t>
                  </m:r>
                  <m:r>
                    <m:rPr>
                      <m:sty m:val="p"/>
                    </m:rPr>
                    <w:rPr>
                      <w:rFonts w:ascii="Cambria Math" w:hAnsi="Cambria Math"/>
                      <w:lang w:val="en-GB" w:eastAsia="ja-JP"/>
                    </w:rPr>
                    <m:t>,</m:t>
                  </m:r>
                  <m:r>
                    <w:rPr>
                      <w:rFonts w:ascii="Cambria Math" w:hAnsi="Cambria Math"/>
                      <w:lang w:val="en-GB" w:eastAsia="ja-JP"/>
                    </w:rPr>
                    <m:t>f</m:t>
                  </m:r>
                  <m:r>
                    <m:rPr>
                      <m:sty m:val="p"/>
                    </m:rPr>
                    <w:rPr>
                      <w:rFonts w:ascii="Cambria Math" w:hAnsi="Cambria Math"/>
                      <w:lang w:val="en-GB" w:eastAsia="ja-JP"/>
                    </w:rPr>
                    <m:t xml:space="preserve"> </m:t>
                  </m:r>
                </m:sub>
                <m:sup>
                  <m:r>
                    <w:rPr>
                      <w:rFonts w:ascii="Cambria Math" w:hAnsi="Cambria Math"/>
                      <w:lang w:val="en-GB" w:eastAsia="ja-JP"/>
                    </w:rPr>
                    <m:t>μ</m:t>
                  </m:r>
                </m:sup>
              </m:sSubSup>
              <m:r>
                <m:rPr>
                  <m:sty m:val="p"/>
                </m:rPr>
                <w:rPr>
                  <w:rFonts w:ascii="Cambria Math" w:hAnsi="Cambria Math"/>
                  <w:lang w:val="en-GB" w:eastAsia="ja-JP"/>
                </w:rPr>
                <m:t xml:space="preserve">- </m:t>
              </m:r>
              <m:sSub>
                <m:sSubPr>
                  <m:ctrlPr>
                    <w:rPr>
                      <w:rFonts w:ascii="Cambria Math" w:hAnsi="Cambria Math"/>
                      <w:lang w:val="en-GB" w:eastAsia="ja-JP"/>
                    </w:rPr>
                  </m:ctrlPr>
                </m:sSubPr>
                <m:e>
                  <m:r>
                    <w:rPr>
                      <w:rFonts w:ascii="Cambria Math" w:hAnsi="Cambria Math"/>
                      <w:lang w:val="en-GB" w:eastAsia="ja-JP"/>
                    </w:rPr>
                    <m:t>o</m:t>
                  </m:r>
                </m:e>
                <m:sub>
                  <m:r>
                    <w:rPr>
                      <w:rFonts w:ascii="Cambria Math" w:hAnsi="Cambria Math"/>
                      <w:lang w:val="en-GB" w:eastAsia="ja-JP"/>
                    </w:rPr>
                    <m:t>s</m:t>
                  </m:r>
                </m:sub>
              </m:sSub>
            </m:e>
          </m:d>
          <m:r>
            <m:rPr>
              <m:sty m:val="p"/>
            </m:rPr>
            <w:rPr>
              <w:rFonts w:ascii="Cambria Math" w:hAnsi="Cambria Math"/>
              <w:lang w:val="en-GB" w:eastAsia="ja-JP"/>
            </w:rPr>
            <m:t xml:space="preserve"> mod </m:t>
          </m:r>
          <m:sSub>
            <m:sSubPr>
              <m:ctrlPr>
                <w:rPr>
                  <w:rFonts w:ascii="Cambria Math" w:hAnsi="Cambria Math"/>
                  <w:lang w:val="en-GB" w:eastAsia="ja-JP"/>
                </w:rPr>
              </m:ctrlPr>
            </m:sSubPr>
            <m:e>
              <m:r>
                <w:rPr>
                  <w:rFonts w:ascii="Cambria Math" w:hAnsi="Cambria Math"/>
                  <w:lang w:val="en-GB" w:eastAsia="ja-JP"/>
                </w:rPr>
                <m:t>k</m:t>
              </m:r>
            </m:e>
            <m:sub>
              <m:r>
                <w:rPr>
                  <w:rFonts w:ascii="Cambria Math" w:hAnsi="Cambria Math"/>
                  <w:lang w:val="en-GB" w:eastAsia="ja-JP"/>
                </w:rPr>
                <m:t>s</m:t>
              </m:r>
            </m:sub>
          </m:sSub>
          <m:r>
            <m:rPr>
              <m:sty m:val="p"/>
            </m:rPr>
            <w:rPr>
              <w:rFonts w:ascii="Cambria Math" w:hAnsi="Cambria Math"/>
              <w:lang w:val="en-GB" w:eastAsia="ja-JP"/>
            </w:rPr>
            <m:t>=0</m:t>
          </m:r>
          <m:r>
            <m:rPr>
              <m:sty m:val="p"/>
            </m:rPr>
            <w:rPr>
              <w:rFonts w:ascii="Cambria Math" w:hAnsi="Cambria Math"/>
              <w:lang w:val="en-GB" w:eastAsia="ja-JP"/>
            </w:rPr>
            <w:fldChar w:fldCharType="begin"/>
          </m:r>
          <m:r>
            <m:rPr>
              <m:sty m:val="p"/>
            </m:rPr>
            <w:rPr>
              <w:rFonts w:ascii="Cambria Math" w:hAnsi="Cambria Math"/>
              <w:lang w:val="en-GB" w:eastAsia="ja-JP"/>
            </w:rPr>
            <m:t xml:space="preserve"> QUOTE </m:t>
          </m:r>
          <m:d>
            <m:dPr>
              <m:ctrlPr>
                <w:rPr>
                  <w:rFonts w:ascii="Cambria Math" w:hAnsi="Cambria Math"/>
                  <w:lang w:val="en-GB" w:eastAsia="ja-JP"/>
                </w:rPr>
              </m:ctrlPr>
            </m:dPr>
            <m:e>
              <m:sSub>
                <m:sSubPr>
                  <m:ctrlPr>
                    <w:rPr>
                      <w:rFonts w:ascii="Cambria Math" w:hAnsi="Cambria Math"/>
                      <w:lang w:val="en-GB" w:eastAsia="ja-JP"/>
                    </w:rPr>
                  </m:ctrlPr>
                </m:sSubPr>
                <m:e>
                  <m:r>
                    <m:rPr>
                      <m:sty m:val="p"/>
                    </m:rPr>
                    <w:rPr>
                      <w:rFonts w:ascii="Cambria Math" w:hAnsi="Cambria Math"/>
                      <w:lang w:val="en-GB" w:eastAsia="ja-JP"/>
                    </w:rPr>
                    <m:t>n</m:t>
                  </m:r>
                </m:e>
                <m:sub>
                  <m:r>
                    <m:rPr>
                      <m:sty m:val="p"/>
                    </m:rPr>
                    <w:rPr>
                      <w:rFonts w:ascii="Cambria Math" w:hAnsi="Cambria Math"/>
                      <w:lang w:val="en-GB" w:eastAsia="ja-JP"/>
                    </w:rPr>
                    <m:t>f</m:t>
                  </m:r>
                </m:sub>
              </m:sSub>
              <m:sSubSup>
                <m:sSubSupPr>
                  <m:ctrlPr>
                    <w:rPr>
                      <w:rFonts w:ascii="Cambria Math" w:hAnsi="Cambria Math"/>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slot</m:t>
                  </m:r>
                </m:sub>
                <m:sup>
                  <m:r>
                    <m:rPr>
                      <m:sty m:val="p"/>
                    </m:rPr>
                    <w:rPr>
                      <w:rFonts w:ascii="Cambria Math" w:hAnsi="Cambria Math"/>
                      <w:lang w:val="en-GB" w:eastAsia="ja-JP"/>
                    </w:rPr>
                    <m:t>frame,μ</m:t>
                  </m:r>
                </m:sup>
              </m:sSubSup>
              <m:r>
                <m:rPr>
                  <m:sty m:val="p"/>
                </m:rPr>
                <w:rPr>
                  <w:rFonts w:ascii="Cambria Math" w:hAnsi="Cambria Math"/>
                  <w:lang w:val="en-GB" w:eastAsia="ja-JP"/>
                </w:rPr>
                <m:t>+</m:t>
              </m:r>
              <m:sSubSup>
                <m:sSubSupPr>
                  <m:ctrlPr>
                    <w:rPr>
                      <w:rFonts w:ascii="Cambria Math" w:hAnsi="Cambria Math"/>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s,f</m:t>
                  </m:r>
                </m:sub>
                <m:sup>
                  <m:r>
                    <m:rPr>
                      <m:sty m:val="p"/>
                    </m:rPr>
                    <w:rPr>
                      <w:rFonts w:ascii="Cambria Math" w:hAnsi="Cambria Math"/>
                      <w:lang w:val="en-GB" w:eastAsia="ja-JP"/>
                    </w:rPr>
                    <m:t>μ</m:t>
                  </m:r>
                </m:sup>
              </m:sSubSup>
              <m:r>
                <m:rPr>
                  <m:sty m:val="p"/>
                </m:rPr>
                <w:rPr>
                  <w:rFonts w:ascii="Cambria Math" w:hAnsi="Cambria Math"/>
                  <w:lang w:val="en-GB" w:eastAsia="ja-JP"/>
                </w:rPr>
                <m:t>-</m:t>
              </m:r>
              <m:sSub>
                <m:sSubPr>
                  <m:ctrlPr>
                    <w:rPr>
                      <w:rFonts w:ascii="Cambria Math" w:hAnsi="Cambria Math"/>
                      <w:lang w:val="en-GB" w:eastAsia="ja-JP"/>
                    </w:rPr>
                  </m:ctrlPr>
                </m:sSubPr>
                <m:e>
                  <m:r>
                    <m:rPr>
                      <m:sty m:val="p"/>
                    </m:rPr>
                    <w:rPr>
                      <w:rFonts w:ascii="Cambria Math" w:hAnsi="Cambria Math"/>
                      <w:lang w:val="en-GB" w:eastAsia="ja-JP"/>
                    </w:rPr>
                    <m:t>o</m:t>
                  </m:r>
                </m:e>
                <m:sub>
                  <m:r>
                    <m:rPr>
                      <m:sty m:val="p"/>
                    </m:rPr>
                    <w:rPr>
                      <w:rFonts w:ascii="Cambria Math" w:hAnsi="Cambria Math"/>
                      <w:lang w:val="en-GB" w:eastAsia="ja-JP"/>
                    </w:rPr>
                    <m:t>p,s</m:t>
                  </m:r>
                </m:sub>
              </m:sSub>
            </m:e>
          </m:d>
          <m:r>
            <m:rPr>
              <m:sty m:val="p"/>
            </m:rPr>
            <w:rPr>
              <w:rFonts w:ascii="Cambria Math" w:hAnsi="Cambria Math"/>
              <w:lang w:val="en-GB" w:eastAsia="ja-JP"/>
            </w:rPr>
            <m:t xml:space="preserve">mod </m:t>
          </m:r>
          <m:sSub>
            <m:sSubPr>
              <m:ctrlPr>
                <w:rPr>
                  <w:rFonts w:ascii="Cambria Math" w:hAnsi="Cambria Math"/>
                  <w:lang w:val="en-GB" w:eastAsia="ja-JP"/>
                </w:rPr>
              </m:ctrlPr>
            </m:sSubPr>
            <m:e>
              <m:r>
                <m:rPr>
                  <m:sty m:val="p"/>
                </m:rPr>
                <w:rPr>
                  <w:rFonts w:ascii="Cambria Math" w:hAnsi="Cambria Math"/>
                  <w:lang w:val="en-GB" w:eastAsia="ja-JP"/>
                </w:rPr>
                <m:t>k</m:t>
              </m:r>
            </m:e>
            <m:sub>
              <m:r>
                <m:rPr>
                  <m:sty m:val="p"/>
                </m:rPr>
                <w:rPr>
                  <w:rFonts w:ascii="Cambria Math" w:hAnsi="Cambria Math"/>
                  <w:lang w:val="en-GB" w:eastAsia="ja-JP"/>
                </w:rPr>
                <m:t>p,s</m:t>
              </m:r>
            </m:sub>
          </m:sSub>
          <m:r>
            <m:rPr>
              <m:sty m:val="p"/>
            </m:rPr>
            <w:rPr>
              <w:rFonts w:ascii="Cambria Math" w:hAnsi="Cambria Math"/>
              <w:lang w:val="en-GB" w:eastAsia="ja-JP"/>
            </w:rPr>
            <m:t xml:space="preserve">=0 </m:t>
          </m:r>
          <m:r>
            <m:rPr>
              <m:sty m:val="p"/>
            </m:rPr>
            <w:rPr>
              <w:rFonts w:ascii="Cambria Math" w:hAnsi="Cambria Math"/>
              <w:lang w:val="en-GB" w:eastAsia="ja-JP"/>
            </w:rPr>
            <w:fldChar w:fldCharType="end"/>
          </m:r>
          <m:r>
            <m:rPr>
              <m:sty m:val="p"/>
            </m:rPr>
            <w:rPr>
              <w:rFonts w:ascii="Cambria Math" w:hAnsi="Cambria Math"/>
              <w:lang w:val="en-GB" w:eastAsia="ja-JP"/>
            </w:rPr>
            <m:t>.</m:t>
          </m:r>
        </m:oMath>
      </m:oMathPara>
    </w:p>
    <w:p w14:paraId="094B2E14" w14:textId="76BBFDCF" w:rsidR="00A702E8" w:rsidRDefault="008D2D90" w:rsidP="00A702E8">
      <w:pPr>
        <w:rPr>
          <w:lang w:val="en-GB" w:eastAsia="ja-JP"/>
        </w:rPr>
      </w:pPr>
      <w:r>
        <w:rPr>
          <w:lang w:val="en-GB" w:eastAsia="ja-JP"/>
        </w:rPr>
        <w:lastRenderedPageBreak/>
        <w:t>If this condition checks, t</w:t>
      </w:r>
      <w:r w:rsidR="00A702E8" w:rsidRPr="002E0DD3">
        <w:rPr>
          <w:lang w:val="en-GB" w:eastAsia="ja-JP"/>
        </w:rPr>
        <w:t xml:space="preserve">he UE monitors PDCCH candidates for search space set </w:t>
      </w:r>
      <m:oMath>
        <m:r>
          <w:rPr>
            <w:rFonts w:ascii="Cambria Math" w:hAnsi="Cambria Math"/>
            <w:lang w:val="en-GB" w:eastAsia="ja-JP"/>
          </w:rPr>
          <m:t>s</m:t>
        </m:r>
      </m:oMath>
      <w:r w:rsidR="00A702E8" w:rsidRPr="002E0DD3">
        <w:rPr>
          <w:lang w:val="en-GB" w:eastAsia="ja-JP"/>
        </w:rPr>
        <w:t xml:space="preserve"> for </w:t>
      </w:r>
      <m:oMath>
        <m:sSub>
          <m:sSubPr>
            <m:ctrlPr>
              <w:rPr>
                <w:rFonts w:ascii="Cambria Math" w:hAnsi="Cambria Math"/>
                <w:lang w:val="en-GB" w:eastAsia="ja-JP"/>
              </w:rPr>
            </m:ctrlPr>
          </m:sSubPr>
          <m:e>
            <m:r>
              <w:rPr>
                <w:rFonts w:ascii="Cambria Math" w:hAnsi="Cambria Math"/>
                <w:lang w:val="en-GB" w:eastAsia="ja-JP"/>
              </w:rPr>
              <m:t>T</m:t>
            </m:r>
          </m:e>
          <m:sub>
            <m:r>
              <w:rPr>
                <w:rFonts w:ascii="Cambria Math" w:hAnsi="Cambria Math"/>
                <w:lang w:val="en-GB" w:eastAsia="ja-JP"/>
              </w:rPr>
              <m:t>s</m:t>
            </m:r>
          </m:sub>
        </m:sSub>
      </m:oMath>
      <w:r w:rsidR="00A702E8" w:rsidRPr="002E0DD3">
        <w:rPr>
          <w:lang w:val="en-GB" w:eastAsia="ja-JP"/>
        </w:rPr>
        <w:t xml:space="preserve"> consecutive slots, starting from slot </w:t>
      </w:r>
      <w:bookmarkStart w:id="6" w:name="_Hlk52207053"/>
      <m:oMath>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m:t>
            </m:r>
            <m:r>
              <m:rPr>
                <m:sty m:val="p"/>
              </m:rPr>
              <w:rPr>
                <w:rFonts w:ascii="Cambria Math" w:hAnsi="Cambria Math"/>
                <w:lang w:val="en-GB" w:eastAsia="ja-JP"/>
              </w:rPr>
              <m:t>,</m:t>
            </m:r>
            <m:r>
              <w:rPr>
                <w:rFonts w:ascii="Cambria Math" w:hAnsi="Cambria Math"/>
                <w:lang w:val="en-GB" w:eastAsia="ja-JP"/>
              </w:rPr>
              <m:t>f</m:t>
            </m:r>
          </m:sub>
          <m:sup>
            <m:r>
              <w:rPr>
                <w:rFonts w:ascii="Cambria Math" w:hAnsi="Cambria Math"/>
                <w:lang w:val="en-GB" w:eastAsia="ja-JP"/>
              </w:rPr>
              <m:t>μ</m:t>
            </m:r>
          </m:sup>
        </m:sSubSup>
      </m:oMath>
      <w:bookmarkEnd w:id="6"/>
      <w:r w:rsidR="00A702E8" w:rsidRPr="002E0DD3">
        <w:rPr>
          <w:lang w:val="en-GB" w:eastAsia="ja-JP"/>
        </w:rPr>
        <w:t xml:space="preserve">, and does not monitor PDCCH candidates for search space set </w:t>
      </w:r>
      <m:oMath>
        <m:r>
          <w:rPr>
            <w:rFonts w:ascii="Cambria Math" w:hAnsi="Cambria Math"/>
            <w:lang w:val="en-GB" w:eastAsia="ja-JP"/>
          </w:rPr>
          <m:t>s</m:t>
        </m:r>
      </m:oMath>
      <w:r w:rsidR="00A702E8" w:rsidRPr="002E0DD3">
        <w:rPr>
          <w:lang w:val="en-GB" w:eastAsia="ja-JP"/>
        </w:rPr>
        <w:t xml:space="preserve"> </w:t>
      </w:r>
      <w:r>
        <w:rPr>
          <w:lang w:val="en-GB" w:eastAsia="ja-JP"/>
        </w:rPr>
        <w:t>again</w:t>
      </w:r>
      <w:r w:rsidRPr="002E0DD3">
        <w:rPr>
          <w:lang w:val="en-GB" w:eastAsia="ja-JP"/>
        </w:rPr>
        <w:t xml:space="preserve"> </w:t>
      </w:r>
      <w:r>
        <w:rPr>
          <w:lang w:val="en-GB" w:eastAsia="ja-JP"/>
        </w:rPr>
        <w:t>until</w:t>
      </w:r>
      <w:r w:rsidR="00A702E8" w:rsidRPr="002E0DD3">
        <w:rPr>
          <w:lang w:val="en-GB" w:eastAsia="ja-JP"/>
        </w:rPr>
        <w:t xml:space="preserve"> </w:t>
      </w:r>
      <w:bookmarkStart w:id="7" w:name="_Hlk52207181"/>
      <m:oMath>
        <m:sSub>
          <m:sSubPr>
            <m:ctrlPr>
              <w:rPr>
                <w:rFonts w:ascii="Cambria Math" w:hAnsi="Cambria Math"/>
                <w:lang w:val="en-GB" w:eastAsia="ja-JP"/>
              </w:rPr>
            </m:ctrlPr>
          </m:sSubPr>
          <m:e>
            <m:r>
              <w:rPr>
                <w:rFonts w:ascii="Cambria Math" w:hAnsi="Cambria Math"/>
                <w:lang w:val="en-GB" w:eastAsia="ja-JP"/>
              </w:rPr>
              <m:t>k</m:t>
            </m:r>
          </m:e>
          <m:sub>
            <m:r>
              <w:rPr>
                <w:rFonts w:ascii="Cambria Math" w:hAnsi="Cambria Math"/>
                <w:lang w:val="en-GB" w:eastAsia="ja-JP"/>
              </w:rPr>
              <m:t>s</m:t>
            </m:r>
          </m:sub>
        </m:sSub>
        <w:bookmarkEnd w:id="7"/>
        <m:r>
          <m:rPr>
            <m:sty m:val="p"/>
          </m:rPr>
          <w:rPr>
            <w:rFonts w:ascii="Cambria Math" w:hAnsi="Cambria Math"/>
            <w:lang w:val="en-GB" w:eastAsia="ja-JP"/>
          </w:rPr>
          <m:t>-</m:t>
        </m:r>
        <m:sSub>
          <m:sSubPr>
            <m:ctrlPr>
              <w:rPr>
                <w:rFonts w:ascii="Cambria Math" w:hAnsi="Cambria Math"/>
                <w:lang w:val="en-GB" w:eastAsia="ja-JP"/>
              </w:rPr>
            </m:ctrlPr>
          </m:sSubPr>
          <m:e>
            <m:r>
              <w:rPr>
                <w:rFonts w:ascii="Cambria Math" w:hAnsi="Cambria Math"/>
                <w:lang w:val="en-GB" w:eastAsia="ja-JP"/>
              </w:rPr>
              <m:t>T</m:t>
            </m:r>
          </m:e>
          <m:sub>
            <m:r>
              <w:rPr>
                <w:rFonts w:ascii="Cambria Math" w:hAnsi="Cambria Math"/>
                <w:lang w:val="en-GB" w:eastAsia="ja-JP"/>
              </w:rPr>
              <m:t>s</m:t>
            </m:r>
          </m:sub>
        </m:sSub>
      </m:oMath>
      <w:r w:rsidR="00A702E8" w:rsidRPr="002E0DD3">
        <w:rPr>
          <w:lang w:val="en-GB" w:eastAsia="ja-JP"/>
        </w:rPr>
        <w:t xml:space="preserve"> slots</w:t>
      </w:r>
      <w:r>
        <w:rPr>
          <w:lang w:val="en-GB" w:eastAsia="ja-JP"/>
        </w:rPr>
        <w:t xml:space="preserve"> later</w:t>
      </w:r>
      <w:r w:rsidR="00A702E8" w:rsidRPr="002E0DD3">
        <w:rPr>
          <w:lang w:val="en-GB" w:eastAsia="ja-JP"/>
        </w:rPr>
        <w:t xml:space="preserve">. </w:t>
      </w:r>
      <w:r w:rsidR="00A702E8">
        <w:rPr>
          <w:lang w:val="en-GB" w:eastAsia="ja-JP"/>
        </w:rPr>
        <w:t xml:space="preserve">That is, the </w:t>
      </w:r>
      <w:r w:rsidR="00A702E8" w:rsidRPr="002E0DD3">
        <w:rPr>
          <w:lang w:val="en-GB" w:eastAsia="ja-JP"/>
        </w:rPr>
        <w:t xml:space="preserve">UE monitors PDCCH candidates for search space set </w:t>
      </w:r>
      <m:oMath>
        <m:r>
          <w:rPr>
            <w:rFonts w:ascii="Cambria Math" w:hAnsi="Cambria Math"/>
            <w:lang w:val="en-GB" w:eastAsia="ja-JP"/>
          </w:rPr>
          <m:t>s</m:t>
        </m:r>
      </m:oMath>
      <w:r w:rsidR="00A702E8" w:rsidRPr="002E0DD3">
        <w:rPr>
          <w:lang w:val="en-GB" w:eastAsia="ja-JP"/>
        </w:rPr>
        <w:t xml:space="preserve"> </w:t>
      </w:r>
      <w:r w:rsidR="00A702E8">
        <w:rPr>
          <w:lang w:val="en-GB" w:eastAsia="ja-JP"/>
        </w:rPr>
        <w:t xml:space="preserve">in </w:t>
      </w:r>
      <w:r w:rsidR="00A702E8" w:rsidRPr="002E0DD3">
        <w:rPr>
          <w:lang w:val="en-GB" w:eastAsia="ja-JP"/>
        </w:rPr>
        <w:t xml:space="preserve">slot </w:t>
      </w:r>
      <m:oMath>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m:t>
            </m:r>
            <m:r>
              <m:rPr>
                <m:sty m:val="p"/>
              </m:rPr>
              <w:rPr>
                <w:rFonts w:ascii="Cambria Math" w:hAnsi="Cambria Math"/>
                <w:lang w:val="en-GB" w:eastAsia="ja-JP"/>
              </w:rPr>
              <m:t>,</m:t>
            </m:r>
            <m:r>
              <w:rPr>
                <w:rFonts w:ascii="Cambria Math" w:hAnsi="Cambria Math"/>
                <w:lang w:val="en-GB" w:eastAsia="ja-JP"/>
              </w:rPr>
              <m:t>f</m:t>
            </m:r>
          </m:sub>
          <m:sup>
            <m:r>
              <w:rPr>
                <w:rFonts w:ascii="Cambria Math" w:hAnsi="Cambria Math"/>
                <w:lang w:val="en-GB" w:eastAsia="ja-JP"/>
              </w:rPr>
              <m:t>μ</m:t>
            </m:r>
          </m:sup>
        </m:sSubSup>
      </m:oMath>
      <w:r w:rsidR="00A702E8">
        <w:rPr>
          <w:rFonts w:eastAsiaTheme="minorEastAsia"/>
          <w:lang w:val="en-GB" w:eastAsia="ja-JP"/>
        </w:rPr>
        <w:t xml:space="preserve"> satisfying the following relationship:</w:t>
      </w:r>
    </w:p>
    <w:p w14:paraId="24335988" w14:textId="33141F64" w:rsidR="00A702E8" w:rsidRPr="002D714A" w:rsidRDefault="00415413" w:rsidP="00A702E8">
      <w:pPr>
        <w:rPr>
          <w:rFonts w:eastAsiaTheme="minorEastAsia"/>
          <w:lang w:val="en-GB" w:eastAsia="ja-JP"/>
        </w:rPr>
      </w:pPr>
      <m:oMathPara>
        <m:oMath>
          <m:d>
            <m:dPr>
              <m:ctrlPr>
                <w:rPr>
                  <w:rFonts w:ascii="Cambria Math" w:hAnsi="Cambria Math"/>
                  <w:lang w:val="en-GB" w:eastAsia="ja-JP"/>
                </w:rPr>
              </m:ctrlPr>
            </m:dPr>
            <m:e>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f</m:t>
                  </m:r>
                </m:sub>
              </m:sSub>
              <m:r>
                <m:rPr>
                  <m:sty m:val="p"/>
                </m:rPr>
                <w:rPr>
                  <w:rFonts w:ascii="Cambria Math" w:hAnsi="Cambria Math"/>
                  <w:lang w:val="en-GB" w:eastAsia="ja-JP"/>
                </w:rPr>
                <m:t>⋅</m:t>
              </m:r>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slot</m:t>
                  </m:r>
                  <m:r>
                    <m:rPr>
                      <m:sty m:val="p"/>
                    </m:rPr>
                    <w:rPr>
                      <w:rFonts w:ascii="Cambria Math" w:hAnsi="Cambria Math"/>
                      <w:lang w:val="en-GB" w:eastAsia="ja-JP"/>
                    </w:rPr>
                    <m:t xml:space="preserve"> </m:t>
                  </m:r>
                </m:sub>
                <m:sup>
                  <m:r>
                    <w:rPr>
                      <w:rFonts w:ascii="Cambria Math" w:hAnsi="Cambria Math"/>
                      <w:lang w:val="en-GB" w:eastAsia="ja-JP"/>
                    </w:rPr>
                    <m:t>frame</m:t>
                  </m:r>
                  <m:r>
                    <m:rPr>
                      <m:sty m:val="p"/>
                    </m:rPr>
                    <w:rPr>
                      <w:rFonts w:ascii="Cambria Math" w:hAnsi="Cambria Math"/>
                      <w:lang w:val="en-GB" w:eastAsia="ja-JP"/>
                    </w:rPr>
                    <m:t xml:space="preserve">, </m:t>
                  </m:r>
                  <m:r>
                    <w:rPr>
                      <w:rFonts w:ascii="Cambria Math" w:hAnsi="Cambria Math"/>
                      <w:lang w:val="en-GB" w:eastAsia="ja-JP"/>
                    </w:rPr>
                    <m:t>μ</m:t>
                  </m:r>
                </m:sup>
              </m:sSubSup>
              <m:r>
                <m:rPr>
                  <m:sty m:val="p"/>
                </m:rPr>
                <w:rPr>
                  <w:rFonts w:ascii="Cambria Math" w:hAnsi="Cambria Math"/>
                  <w:lang w:val="en-GB" w:eastAsia="ja-JP"/>
                </w:rPr>
                <m:t xml:space="preserve">+ </m:t>
              </m:r>
              <m:sSubSup>
                <m:sSubSupPr>
                  <m:ctrlPr>
                    <w:rPr>
                      <w:rFonts w:ascii="Cambria Math" w:hAnsi="Cambria Math"/>
                      <w:lang w:val="en-GB" w:eastAsia="ja-JP"/>
                    </w:rPr>
                  </m:ctrlPr>
                </m:sSubSupPr>
                <m:e>
                  <m:r>
                    <w:rPr>
                      <w:rFonts w:ascii="Cambria Math" w:hAnsi="Cambria Math"/>
                      <w:lang w:val="en-GB" w:eastAsia="ja-JP"/>
                    </w:rPr>
                    <m:t>n</m:t>
                  </m:r>
                </m:e>
                <m:sub>
                  <m:r>
                    <w:rPr>
                      <w:rFonts w:ascii="Cambria Math" w:hAnsi="Cambria Math"/>
                      <w:lang w:val="en-GB" w:eastAsia="ja-JP"/>
                    </w:rPr>
                    <m:t>s</m:t>
                  </m:r>
                  <m:r>
                    <m:rPr>
                      <m:sty m:val="p"/>
                    </m:rPr>
                    <w:rPr>
                      <w:rFonts w:ascii="Cambria Math" w:hAnsi="Cambria Math"/>
                      <w:lang w:val="en-GB" w:eastAsia="ja-JP"/>
                    </w:rPr>
                    <m:t>,</m:t>
                  </m:r>
                  <m:r>
                    <w:rPr>
                      <w:rFonts w:ascii="Cambria Math" w:hAnsi="Cambria Math"/>
                      <w:lang w:val="en-GB" w:eastAsia="ja-JP"/>
                    </w:rPr>
                    <m:t>f</m:t>
                  </m:r>
                  <m:r>
                    <m:rPr>
                      <m:sty m:val="p"/>
                    </m:rPr>
                    <w:rPr>
                      <w:rFonts w:ascii="Cambria Math" w:hAnsi="Cambria Math"/>
                      <w:lang w:val="en-GB" w:eastAsia="ja-JP"/>
                    </w:rPr>
                    <m:t xml:space="preserve"> </m:t>
                  </m:r>
                </m:sub>
                <m:sup>
                  <m:r>
                    <w:rPr>
                      <w:rFonts w:ascii="Cambria Math" w:hAnsi="Cambria Math"/>
                      <w:lang w:val="en-GB" w:eastAsia="ja-JP"/>
                    </w:rPr>
                    <m:t>μ</m:t>
                  </m:r>
                </m:sup>
              </m:sSubSup>
              <m:r>
                <m:rPr>
                  <m:sty m:val="p"/>
                </m:rPr>
                <w:rPr>
                  <w:rFonts w:ascii="Cambria Math" w:hAnsi="Cambria Math"/>
                  <w:lang w:val="en-GB" w:eastAsia="ja-JP"/>
                </w:rPr>
                <m:t xml:space="preserve">- </m:t>
              </m:r>
              <m:sSub>
                <m:sSubPr>
                  <m:ctrlPr>
                    <w:rPr>
                      <w:rFonts w:ascii="Cambria Math" w:hAnsi="Cambria Math"/>
                      <w:lang w:val="en-GB" w:eastAsia="ja-JP"/>
                    </w:rPr>
                  </m:ctrlPr>
                </m:sSubPr>
                <m:e>
                  <m:r>
                    <w:rPr>
                      <w:rFonts w:ascii="Cambria Math" w:hAnsi="Cambria Math"/>
                      <w:lang w:val="en-GB" w:eastAsia="ja-JP"/>
                    </w:rPr>
                    <m:t>o</m:t>
                  </m:r>
                </m:e>
                <m:sub>
                  <m:r>
                    <w:rPr>
                      <w:rFonts w:ascii="Cambria Math" w:hAnsi="Cambria Math"/>
                      <w:lang w:val="en-GB" w:eastAsia="ja-JP"/>
                    </w:rPr>
                    <m:t>s</m:t>
                  </m:r>
                </m:sub>
              </m:sSub>
            </m:e>
          </m:d>
          <m:r>
            <m:rPr>
              <m:sty m:val="p"/>
            </m:rPr>
            <w:rPr>
              <w:rFonts w:ascii="Cambria Math" w:hAnsi="Cambria Math"/>
              <w:lang w:val="en-GB" w:eastAsia="ja-JP"/>
            </w:rPr>
            <m:t xml:space="preserve"> mod </m:t>
          </m:r>
          <m:sSub>
            <m:sSubPr>
              <m:ctrlPr>
                <w:rPr>
                  <w:rFonts w:ascii="Cambria Math" w:hAnsi="Cambria Math"/>
                  <w:lang w:val="en-GB" w:eastAsia="ja-JP"/>
                </w:rPr>
              </m:ctrlPr>
            </m:sSubPr>
            <m:e>
              <m:r>
                <w:rPr>
                  <w:rFonts w:ascii="Cambria Math" w:hAnsi="Cambria Math"/>
                  <w:lang w:val="en-GB" w:eastAsia="ja-JP"/>
                </w:rPr>
                <m:t>k</m:t>
              </m:r>
            </m:e>
            <m:sub>
              <m:r>
                <w:rPr>
                  <w:rFonts w:ascii="Cambria Math" w:hAnsi="Cambria Math"/>
                  <w:lang w:val="en-GB" w:eastAsia="ja-JP"/>
                </w:rPr>
                <m:t>s</m:t>
              </m:r>
            </m:sub>
          </m:sSub>
          <m:r>
            <m:rPr>
              <m:sty m:val="p"/>
            </m:rPr>
            <w:rPr>
              <w:rFonts w:ascii="Cambria Math" w:hAnsi="Cambria Math"/>
              <w:lang w:val="en-GB" w:eastAsia="ja-JP"/>
            </w:rPr>
            <m:t>=</m:t>
          </m:r>
          <m:r>
            <w:rPr>
              <w:rFonts w:ascii="Cambria Math" w:hAnsi="Cambria Math"/>
              <w:lang w:val="en-GB" w:eastAsia="ja-JP"/>
            </w:rPr>
            <m:t xml:space="preserve">d, for d=0, 1,…, </m:t>
          </m:r>
          <m:sSub>
            <m:sSubPr>
              <m:ctrlPr>
                <w:rPr>
                  <w:rFonts w:ascii="Cambria Math" w:hAnsi="Cambria Math"/>
                  <w:i/>
                  <w:iCs/>
                  <w:lang w:val="en-GB" w:eastAsia="ja-JP"/>
                </w:rPr>
              </m:ctrlPr>
            </m:sSubPr>
            <m:e>
              <m:r>
                <w:rPr>
                  <w:rFonts w:ascii="Cambria Math" w:hAnsi="Cambria Math"/>
                  <w:lang w:val="en-GB" w:eastAsia="ja-JP"/>
                </w:rPr>
                <m:t>T</m:t>
              </m:r>
            </m:e>
            <m:sub>
              <m:r>
                <w:rPr>
                  <w:rFonts w:ascii="Cambria Math" w:hAnsi="Cambria Math"/>
                  <w:lang w:val="en-GB" w:eastAsia="ja-JP"/>
                </w:rPr>
                <m:t>s</m:t>
              </m:r>
            </m:sub>
          </m:sSub>
          <m:r>
            <w:rPr>
              <w:rFonts w:ascii="Cambria Math" w:hAnsi="Cambria Math"/>
              <w:lang w:val="en-GB" w:eastAsia="ja-JP"/>
            </w:rPr>
            <m:t>-1</m:t>
          </m:r>
          <m:r>
            <m:rPr>
              <m:sty m:val="p"/>
            </m:rPr>
            <w:rPr>
              <w:rFonts w:ascii="Cambria Math" w:hAnsi="Cambria Math"/>
              <w:lang w:val="en-GB" w:eastAsia="ja-JP"/>
            </w:rPr>
            <w:fldChar w:fldCharType="begin"/>
          </m:r>
          <m:r>
            <m:rPr>
              <m:sty m:val="p"/>
            </m:rPr>
            <w:rPr>
              <w:rFonts w:ascii="Cambria Math" w:hAnsi="Cambria Math"/>
              <w:lang w:val="en-GB" w:eastAsia="ja-JP"/>
            </w:rPr>
            <m:t xml:space="preserve"> QUOTE </m:t>
          </m:r>
          <m:d>
            <m:dPr>
              <m:ctrlPr>
                <w:rPr>
                  <w:rFonts w:ascii="Cambria Math" w:hAnsi="Cambria Math"/>
                  <w:lang w:val="en-GB" w:eastAsia="ja-JP"/>
                </w:rPr>
              </m:ctrlPr>
            </m:dPr>
            <m:e>
              <m:sSub>
                <m:sSubPr>
                  <m:ctrlPr>
                    <w:rPr>
                      <w:rFonts w:ascii="Cambria Math" w:hAnsi="Cambria Math"/>
                      <w:lang w:val="en-GB" w:eastAsia="ja-JP"/>
                    </w:rPr>
                  </m:ctrlPr>
                </m:sSubPr>
                <m:e>
                  <m:r>
                    <m:rPr>
                      <m:sty m:val="p"/>
                    </m:rPr>
                    <w:rPr>
                      <w:rFonts w:ascii="Cambria Math" w:hAnsi="Cambria Math"/>
                      <w:lang w:val="en-GB" w:eastAsia="ja-JP"/>
                    </w:rPr>
                    <m:t>n</m:t>
                  </m:r>
                </m:e>
                <m:sub>
                  <m:r>
                    <m:rPr>
                      <m:sty m:val="p"/>
                    </m:rPr>
                    <w:rPr>
                      <w:rFonts w:ascii="Cambria Math" w:hAnsi="Cambria Math"/>
                      <w:lang w:val="en-GB" w:eastAsia="ja-JP"/>
                    </w:rPr>
                    <m:t>f</m:t>
                  </m:r>
                </m:sub>
              </m:sSub>
              <m:sSubSup>
                <m:sSubSupPr>
                  <m:ctrlPr>
                    <w:rPr>
                      <w:rFonts w:ascii="Cambria Math" w:hAnsi="Cambria Math"/>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slot</m:t>
                  </m:r>
                </m:sub>
                <m:sup>
                  <m:r>
                    <m:rPr>
                      <m:sty m:val="p"/>
                    </m:rPr>
                    <w:rPr>
                      <w:rFonts w:ascii="Cambria Math" w:hAnsi="Cambria Math"/>
                      <w:lang w:val="en-GB" w:eastAsia="ja-JP"/>
                    </w:rPr>
                    <m:t>frame,μ</m:t>
                  </m:r>
                </m:sup>
              </m:sSubSup>
              <m:r>
                <m:rPr>
                  <m:sty m:val="p"/>
                </m:rPr>
                <w:rPr>
                  <w:rFonts w:ascii="Cambria Math" w:hAnsi="Cambria Math"/>
                  <w:lang w:val="en-GB" w:eastAsia="ja-JP"/>
                </w:rPr>
                <m:t>+</m:t>
              </m:r>
              <m:sSubSup>
                <m:sSubSupPr>
                  <m:ctrlPr>
                    <w:rPr>
                      <w:rFonts w:ascii="Cambria Math" w:hAnsi="Cambria Math"/>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s,f</m:t>
                  </m:r>
                </m:sub>
                <m:sup>
                  <m:r>
                    <m:rPr>
                      <m:sty m:val="p"/>
                    </m:rPr>
                    <w:rPr>
                      <w:rFonts w:ascii="Cambria Math" w:hAnsi="Cambria Math"/>
                      <w:lang w:val="en-GB" w:eastAsia="ja-JP"/>
                    </w:rPr>
                    <m:t>μ</m:t>
                  </m:r>
                </m:sup>
              </m:sSubSup>
              <m:r>
                <m:rPr>
                  <m:sty m:val="p"/>
                </m:rPr>
                <w:rPr>
                  <w:rFonts w:ascii="Cambria Math" w:hAnsi="Cambria Math"/>
                  <w:lang w:val="en-GB" w:eastAsia="ja-JP"/>
                </w:rPr>
                <m:t>-</m:t>
              </m:r>
              <m:sSub>
                <m:sSubPr>
                  <m:ctrlPr>
                    <w:rPr>
                      <w:rFonts w:ascii="Cambria Math" w:hAnsi="Cambria Math"/>
                      <w:lang w:val="en-GB" w:eastAsia="ja-JP"/>
                    </w:rPr>
                  </m:ctrlPr>
                </m:sSubPr>
                <m:e>
                  <m:r>
                    <m:rPr>
                      <m:sty m:val="p"/>
                    </m:rPr>
                    <w:rPr>
                      <w:rFonts w:ascii="Cambria Math" w:hAnsi="Cambria Math"/>
                      <w:lang w:val="en-GB" w:eastAsia="ja-JP"/>
                    </w:rPr>
                    <m:t>o</m:t>
                  </m:r>
                </m:e>
                <m:sub>
                  <m:r>
                    <m:rPr>
                      <m:sty m:val="p"/>
                    </m:rPr>
                    <w:rPr>
                      <w:rFonts w:ascii="Cambria Math" w:hAnsi="Cambria Math"/>
                      <w:lang w:val="en-GB" w:eastAsia="ja-JP"/>
                    </w:rPr>
                    <m:t>p,s</m:t>
                  </m:r>
                </m:sub>
              </m:sSub>
            </m:e>
          </m:d>
          <m:r>
            <m:rPr>
              <m:sty m:val="p"/>
            </m:rPr>
            <w:rPr>
              <w:rFonts w:ascii="Cambria Math" w:hAnsi="Cambria Math"/>
              <w:lang w:val="en-GB" w:eastAsia="ja-JP"/>
            </w:rPr>
            <m:t xml:space="preserve">mod </m:t>
          </m:r>
          <m:sSub>
            <m:sSubPr>
              <m:ctrlPr>
                <w:rPr>
                  <w:rFonts w:ascii="Cambria Math" w:hAnsi="Cambria Math"/>
                  <w:lang w:val="en-GB" w:eastAsia="ja-JP"/>
                </w:rPr>
              </m:ctrlPr>
            </m:sSubPr>
            <m:e>
              <m:r>
                <m:rPr>
                  <m:sty m:val="p"/>
                </m:rPr>
                <w:rPr>
                  <w:rFonts w:ascii="Cambria Math" w:hAnsi="Cambria Math"/>
                  <w:lang w:val="en-GB" w:eastAsia="ja-JP"/>
                </w:rPr>
                <m:t>k</m:t>
              </m:r>
            </m:e>
            <m:sub>
              <m:r>
                <m:rPr>
                  <m:sty m:val="p"/>
                </m:rPr>
                <w:rPr>
                  <w:rFonts w:ascii="Cambria Math" w:hAnsi="Cambria Math"/>
                  <w:lang w:val="en-GB" w:eastAsia="ja-JP"/>
                </w:rPr>
                <m:t>p,s</m:t>
              </m:r>
            </m:sub>
          </m:sSub>
          <m:r>
            <m:rPr>
              <m:sty m:val="p"/>
            </m:rPr>
            <w:rPr>
              <w:rFonts w:ascii="Cambria Math" w:hAnsi="Cambria Math"/>
              <w:lang w:val="en-GB" w:eastAsia="ja-JP"/>
            </w:rPr>
            <m:t xml:space="preserve">=0 </m:t>
          </m:r>
          <m:r>
            <m:rPr>
              <m:sty m:val="p"/>
            </m:rPr>
            <w:rPr>
              <w:rFonts w:ascii="Cambria Math" w:hAnsi="Cambria Math"/>
              <w:lang w:val="en-GB" w:eastAsia="ja-JP"/>
            </w:rPr>
            <w:fldChar w:fldCharType="end"/>
          </m:r>
          <m:r>
            <m:rPr>
              <m:sty m:val="p"/>
            </m:rPr>
            <w:rPr>
              <w:rFonts w:ascii="Cambria Math" w:hAnsi="Cambria Math"/>
              <w:lang w:val="en-GB" w:eastAsia="ja-JP"/>
            </w:rPr>
            <m:t>.</m:t>
          </m:r>
        </m:oMath>
      </m:oMathPara>
    </w:p>
    <w:p w14:paraId="2A71DD97" w14:textId="455927A6" w:rsidR="00BB4CCB" w:rsidRDefault="00BB4CCB" w:rsidP="002D714A">
      <w:pPr>
        <w:pStyle w:val="BodyText"/>
      </w:pPr>
    </w:p>
    <w:p w14:paraId="71A031EB" w14:textId="50EEA7D6" w:rsidR="00177A08" w:rsidRPr="00B777F6" w:rsidRDefault="00177A08" w:rsidP="00177A08">
      <w:pPr>
        <w:pStyle w:val="Observation"/>
        <w:rPr>
          <w:lang w:val="en-GB"/>
        </w:rPr>
      </w:pPr>
      <w:bookmarkStart w:id="8" w:name="_Toc87014485"/>
      <w:r w:rsidRPr="00BF0738">
        <w:t>Per Rel-15/16 specs</w:t>
      </w:r>
      <w:r w:rsidR="001A1F86">
        <w:t xml:space="preserve"> (see 38.213 Section 10.1)</w:t>
      </w:r>
      <w:r w:rsidRPr="00BF0738">
        <w:t xml:space="preserve">, </w:t>
      </w:r>
      <w:r w:rsidR="00B777F6" w:rsidRPr="00BF0738">
        <w:rPr>
          <w:lang w:val="en-GB"/>
        </w:rPr>
        <w:t xml:space="preserve">the UE monitors PDCCH candidates for search space set </w:t>
      </w:r>
      <m:oMath>
        <m:r>
          <m:rPr>
            <m:sty m:val="bi"/>
          </m:rPr>
          <w:rPr>
            <w:rFonts w:ascii="Cambria Math" w:hAnsi="Cambria Math"/>
            <w:lang w:val="en-GB"/>
          </w:rPr>
          <m:t>s</m:t>
        </m:r>
      </m:oMath>
      <w:r w:rsidR="00B777F6" w:rsidRPr="00BF0738">
        <w:rPr>
          <w:lang w:val="en-GB"/>
        </w:rPr>
        <w:t xml:space="preserve"> in a slot with number </w:t>
      </w:r>
      <m:oMath>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m:t>
            </m:r>
            <m:r>
              <m:rPr>
                <m:sty m:val="b"/>
              </m:rPr>
              <w:rPr>
                <w:rFonts w:ascii="Cambria Math" w:hAnsi="Cambria Math"/>
                <w:lang w:val="en-GB"/>
              </w:rPr>
              <m:t>,</m:t>
            </m:r>
            <m:r>
              <m:rPr>
                <m:sty m:val="bi"/>
              </m:rPr>
              <w:rPr>
                <w:rFonts w:ascii="Cambria Math" w:hAnsi="Cambria Math"/>
                <w:lang w:val="en-GB"/>
              </w:rPr>
              <m:t>f</m:t>
            </m:r>
          </m:sub>
          <m:sup>
            <m:r>
              <m:rPr>
                <m:sty m:val="bi"/>
              </m:rPr>
              <w:rPr>
                <w:rFonts w:ascii="Cambria Math" w:hAnsi="Cambria Math"/>
                <w:lang w:val="en-GB"/>
              </w:rPr>
              <m:t>μ</m:t>
            </m:r>
          </m:sup>
        </m:sSubSup>
      </m:oMath>
      <w:r w:rsidR="00B777F6" w:rsidRPr="00BF0738">
        <w:rPr>
          <w:rFonts w:eastAsiaTheme="minorEastAsia"/>
          <w:lang w:val="en-GB"/>
        </w:rPr>
        <w:t xml:space="preserve"> </w:t>
      </w:r>
      <w:r w:rsidR="00B777F6" w:rsidRPr="00BF0738">
        <w:rPr>
          <w:lang w:val="en-GB"/>
        </w:rPr>
        <w:t xml:space="preserve">in a frame with number </w:t>
      </w:r>
      <m:oMath>
        <m:sSub>
          <m:sSubPr>
            <m:ctrlPr>
              <w:rPr>
                <w:rFonts w:ascii="Cambria Math" w:hAnsi="Cambria Math"/>
                <w:lang w:val="en-GB"/>
              </w:rPr>
            </m:ctrlPr>
          </m:sSubPr>
          <m:e>
            <m:r>
              <m:rPr>
                <m:sty m:val="bi"/>
              </m:rPr>
              <w:rPr>
                <w:rFonts w:ascii="Cambria Math" w:hAnsi="Cambria Math"/>
                <w:lang w:val="en-GB"/>
              </w:rPr>
              <m:t>n</m:t>
            </m:r>
          </m:e>
          <m:sub>
            <m:r>
              <m:rPr>
                <m:sty m:val="bi"/>
              </m:rPr>
              <w:rPr>
                <w:rFonts w:ascii="Cambria Math" w:hAnsi="Cambria Math"/>
                <w:lang w:val="en-GB"/>
              </w:rPr>
              <m:t>f</m:t>
            </m:r>
          </m:sub>
        </m:sSub>
      </m:oMath>
      <w:r w:rsidR="00B777F6" w:rsidRPr="00BF0738">
        <w:rPr>
          <w:rFonts w:eastAsiaTheme="minorEastAsia"/>
          <w:lang w:val="en-GB"/>
        </w:rPr>
        <w:t xml:space="preserve"> if</w:t>
      </w:r>
      <w:r w:rsidR="00265787" w:rsidRPr="00BF0738">
        <w:rPr>
          <w:rFonts w:eastAsiaTheme="minorEastAsia"/>
          <w:lang w:val="en-GB"/>
        </w:rPr>
        <w:br/>
      </w:r>
      <m:oMathPara>
        <m:oMath>
          <m:d>
            <m:dPr>
              <m:ctrlPr>
                <w:rPr>
                  <w:rFonts w:ascii="Cambria Math" w:hAnsi="Cambria Math"/>
                  <w:lang w:val="en-GB"/>
                </w:rPr>
              </m:ctrlPr>
            </m:dPr>
            <m:e>
              <m:sSub>
                <m:sSubPr>
                  <m:ctrlPr>
                    <w:rPr>
                      <w:rFonts w:ascii="Cambria Math" w:hAnsi="Cambria Math"/>
                      <w:lang w:val="en-GB"/>
                    </w:rPr>
                  </m:ctrlPr>
                </m:sSubPr>
                <m:e>
                  <m:r>
                    <m:rPr>
                      <m:sty m:val="bi"/>
                    </m:rPr>
                    <w:rPr>
                      <w:rFonts w:ascii="Cambria Math" w:hAnsi="Cambria Math"/>
                      <w:lang w:val="en-GB"/>
                    </w:rPr>
                    <m:t>n</m:t>
                  </m:r>
                </m:e>
                <m:sub>
                  <m:r>
                    <m:rPr>
                      <m:sty m:val="bi"/>
                    </m:rPr>
                    <w:rPr>
                      <w:rFonts w:ascii="Cambria Math" w:hAnsi="Cambria Math"/>
                      <w:lang w:val="en-GB"/>
                    </w:rPr>
                    <m:t>f</m:t>
                  </m:r>
                </m:sub>
              </m:sSub>
              <m:r>
                <m:rPr>
                  <m:sty m:val="b"/>
                </m:rPr>
                <w:rPr>
                  <w:rFonts w:ascii="Cambria Math" w:hAnsi="Cambria Math"/>
                  <w:lang w:val="en-GB"/>
                </w:rPr>
                <m:t>⋅</m:t>
              </m:r>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slot</m:t>
                  </m:r>
                  <m:r>
                    <m:rPr>
                      <m:sty m:val="b"/>
                    </m:rPr>
                    <w:rPr>
                      <w:rFonts w:ascii="Cambria Math" w:hAnsi="Cambria Math"/>
                      <w:lang w:val="en-GB"/>
                    </w:rPr>
                    <m:t xml:space="preserve"> </m:t>
                  </m:r>
                </m:sub>
                <m:sup>
                  <m:r>
                    <m:rPr>
                      <m:sty m:val="bi"/>
                    </m:rPr>
                    <w:rPr>
                      <w:rFonts w:ascii="Cambria Math" w:hAnsi="Cambria Math"/>
                      <w:lang w:val="en-GB"/>
                    </w:rPr>
                    <m:t>frame</m:t>
                  </m:r>
                  <m:r>
                    <m:rPr>
                      <m:sty m:val="b"/>
                    </m:rPr>
                    <w:rPr>
                      <w:rFonts w:ascii="Cambria Math" w:hAnsi="Cambria Math"/>
                      <w:lang w:val="en-GB"/>
                    </w:rPr>
                    <m:t xml:space="preserve">, </m:t>
                  </m:r>
                  <m:r>
                    <m:rPr>
                      <m:sty m:val="bi"/>
                    </m:rPr>
                    <w:rPr>
                      <w:rFonts w:ascii="Cambria Math" w:hAnsi="Cambria Math"/>
                      <w:lang w:val="en-GB"/>
                    </w:rPr>
                    <m:t>μ</m:t>
                  </m:r>
                </m:sup>
              </m:sSubSup>
              <m:r>
                <m:rPr>
                  <m:sty m:val="b"/>
                </m:rPr>
                <w:rPr>
                  <w:rFonts w:ascii="Cambria Math" w:hAnsi="Cambria Math"/>
                  <w:lang w:val="en-GB"/>
                </w:rPr>
                <m:t xml:space="preserve">+ </m:t>
              </m:r>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m:t>
                  </m:r>
                  <m:r>
                    <m:rPr>
                      <m:sty m:val="b"/>
                    </m:rPr>
                    <w:rPr>
                      <w:rFonts w:ascii="Cambria Math" w:hAnsi="Cambria Math"/>
                      <w:lang w:val="en-GB"/>
                    </w:rPr>
                    <m:t>,</m:t>
                  </m:r>
                  <m:r>
                    <m:rPr>
                      <m:sty m:val="bi"/>
                    </m:rPr>
                    <w:rPr>
                      <w:rFonts w:ascii="Cambria Math" w:hAnsi="Cambria Math"/>
                      <w:lang w:val="en-GB"/>
                    </w:rPr>
                    <m:t>f</m:t>
                  </m:r>
                  <m:r>
                    <m:rPr>
                      <m:sty m:val="b"/>
                    </m:rPr>
                    <w:rPr>
                      <w:rFonts w:ascii="Cambria Math" w:hAnsi="Cambria Math"/>
                      <w:lang w:val="en-GB"/>
                    </w:rPr>
                    <m:t xml:space="preserve"> </m:t>
                  </m:r>
                </m:sub>
                <m:sup>
                  <m:r>
                    <m:rPr>
                      <m:sty m:val="bi"/>
                    </m:rPr>
                    <w:rPr>
                      <w:rFonts w:ascii="Cambria Math" w:hAnsi="Cambria Math"/>
                      <w:lang w:val="en-GB"/>
                    </w:rPr>
                    <m:t>μ</m:t>
                  </m:r>
                </m:sup>
              </m:sSubSup>
              <m:r>
                <m:rPr>
                  <m:sty m:val="b"/>
                </m:rPr>
                <w:rPr>
                  <w:rFonts w:ascii="Cambria Math" w:hAnsi="Cambria Math"/>
                  <w:lang w:val="en-GB"/>
                </w:rPr>
                <m:t xml:space="preserve">- </m:t>
              </m:r>
              <m:sSub>
                <m:sSubPr>
                  <m:ctrlPr>
                    <w:rPr>
                      <w:rFonts w:ascii="Cambria Math" w:hAnsi="Cambria Math"/>
                      <w:lang w:val="en-GB"/>
                    </w:rPr>
                  </m:ctrlPr>
                </m:sSubPr>
                <m:e>
                  <m:r>
                    <m:rPr>
                      <m:sty m:val="bi"/>
                    </m:rPr>
                    <w:rPr>
                      <w:rFonts w:ascii="Cambria Math" w:hAnsi="Cambria Math"/>
                      <w:lang w:val="en-GB"/>
                    </w:rPr>
                    <m:t>o</m:t>
                  </m:r>
                </m:e>
                <m:sub>
                  <m:r>
                    <m:rPr>
                      <m:sty m:val="bi"/>
                    </m:rPr>
                    <w:rPr>
                      <w:rFonts w:ascii="Cambria Math" w:hAnsi="Cambria Math"/>
                      <w:lang w:val="en-GB"/>
                    </w:rPr>
                    <m:t>s</m:t>
                  </m:r>
                </m:sub>
              </m:sSub>
            </m:e>
          </m:d>
          <m:r>
            <m:rPr>
              <m:sty m:val="b"/>
            </m:rPr>
            <w:rPr>
              <w:rFonts w:ascii="Cambria Math" w:hAnsi="Cambria Math"/>
              <w:lang w:val="en-GB"/>
            </w:rPr>
            <m:t xml:space="preserve"> mod </m:t>
          </m:r>
          <m:sSub>
            <m:sSubPr>
              <m:ctrlPr>
                <w:rPr>
                  <w:rFonts w:ascii="Cambria Math" w:hAnsi="Cambria Math"/>
                  <w:lang w:val="en-GB"/>
                </w:rPr>
              </m:ctrlPr>
            </m:sSubPr>
            <m:e>
              <m:r>
                <m:rPr>
                  <m:sty m:val="bi"/>
                </m:rPr>
                <w:rPr>
                  <w:rFonts w:ascii="Cambria Math" w:hAnsi="Cambria Math"/>
                  <w:lang w:val="en-GB"/>
                </w:rPr>
                <m:t>k</m:t>
              </m:r>
            </m:e>
            <m:sub>
              <m:r>
                <m:rPr>
                  <m:sty m:val="bi"/>
                </m:rPr>
                <w:rPr>
                  <w:rFonts w:ascii="Cambria Math" w:hAnsi="Cambria Math"/>
                  <w:lang w:val="en-GB"/>
                </w:rPr>
                <m:t>s</m:t>
              </m:r>
            </m:sub>
          </m:sSub>
          <m:r>
            <m:rPr>
              <m:sty m:val="b"/>
            </m:rPr>
            <w:rPr>
              <w:rFonts w:ascii="Cambria Math" w:hAnsi="Cambria Math"/>
              <w:lang w:val="en-GB"/>
            </w:rPr>
            <m:t>=</m:t>
          </m:r>
          <m:r>
            <m:rPr>
              <m:sty m:val="bi"/>
            </m:rPr>
            <w:rPr>
              <w:rFonts w:ascii="Cambria Math" w:hAnsi="Cambria Math"/>
              <w:lang w:val="en-GB"/>
            </w:rPr>
            <m:t xml:space="preserve">d, </m:t>
          </m:r>
          <m:r>
            <m:rPr>
              <m:sty m:val="b"/>
            </m:rPr>
            <w:rPr>
              <w:rFonts w:ascii="Cambria Math" w:hAnsi="Cambria Math"/>
              <w:lang w:val="en-GB"/>
            </w:rPr>
            <m:t>for</m:t>
          </m:r>
          <m:r>
            <m:rPr>
              <m:sty m:val="bi"/>
            </m:rPr>
            <w:rPr>
              <w:rFonts w:ascii="Cambria Math" w:hAnsi="Cambria Math"/>
              <w:lang w:val="en-GB"/>
            </w:rPr>
            <m:t xml:space="preserve"> d=0, 1,…, </m:t>
          </m:r>
          <m:sSub>
            <m:sSubPr>
              <m:ctrlPr>
                <w:rPr>
                  <w:rFonts w:ascii="Cambria Math" w:hAnsi="Cambria Math"/>
                  <w:i/>
                  <w:iCs/>
                  <w:lang w:val="en-GB"/>
                </w:rPr>
              </m:ctrlPr>
            </m:sSubPr>
            <m:e>
              <m:r>
                <m:rPr>
                  <m:sty m:val="bi"/>
                </m:rPr>
                <w:rPr>
                  <w:rFonts w:ascii="Cambria Math" w:hAnsi="Cambria Math"/>
                  <w:lang w:val="en-GB"/>
                </w:rPr>
                <m:t>T</m:t>
              </m:r>
            </m:e>
            <m:sub>
              <m:r>
                <m:rPr>
                  <m:sty m:val="bi"/>
                </m:rPr>
                <w:rPr>
                  <w:rFonts w:ascii="Cambria Math" w:hAnsi="Cambria Math"/>
                  <w:lang w:val="en-GB"/>
                </w:rPr>
                <m:t>s</m:t>
              </m:r>
            </m:sub>
          </m:sSub>
          <m:r>
            <m:rPr>
              <m:sty m:val="bi"/>
            </m:rPr>
            <w:rPr>
              <w:rFonts w:ascii="Cambria Math" w:hAnsi="Cambria Math"/>
              <w:lang w:val="en-GB"/>
            </w:rPr>
            <m:t>-1,</m:t>
          </m:r>
          <m:r>
            <m:rPr>
              <m:sty m:val="b"/>
            </m:rPr>
            <w:rPr>
              <w:rFonts w:eastAsiaTheme="minorEastAsia"/>
              <w:lang w:val="en-GB"/>
            </w:rPr>
            <w:br/>
          </m:r>
        </m:oMath>
      </m:oMathPara>
      <w:r w:rsidR="00265787" w:rsidRPr="00BF0738">
        <w:rPr>
          <w:rFonts w:eastAsiaTheme="minorEastAsia"/>
          <w:iCs/>
          <w:lang w:val="en-GB"/>
        </w:rPr>
        <w:t xml:space="preserve">where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k</m:t>
            </m:r>
          </m:e>
          <m:sub>
            <m:r>
              <m:rPr>
                <m:sty m:val="bi"/>
              </m:rPr>
              <w:rPr>
                <w:rFonts w:ascii="Cambria Math" w:eastAsiaTheme="minorEastAsia" w:hAnsi="Cambria Math" w:cs="Arial"/>
                <w:lang w:val="en-GB"/>
              </w:rPr>
              <m:t>s</m:t>
            </m:r>
          </m:sub>
        </m:sSub>
      </m:oMath>
      <w:r w:rsidR="00265787" w:rsidRPr="00BF0738">
        <w:rPr>
          <w:rFonts w:eastAsiaTheme="minorEastAsia" w:cs="Arial"/>
          <w:lang w:val="en-GB"/>
        </w:rPr>
        <w:t xml:space="preserve">,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o</m:t>
            </m:r>
          </m:e>
          <m:sub>
            <m:r>
              <m:rPr>
                <m:sty m:val="bi"/>
              </m:rPr>
              <w:rPr>
                <w:rFonts w:ascii="Cambria Math" w:eastAsiaTheme="minorEastAsia" w:hAnsi="Cambria Math" w:cs="Arial"/>
                <w:lang w:val="en-GB"/>
              </w:rPr>
              <m:t>s</m:t>
            </m:r>
          </m:sub>
        </m:sSub>
      </m:oMath>
      <w:r w:rsidR="00265787" w:rsidRPr="00BF0738">
        <w:rPr>
          <w:rFonts w:eastAsiaTheme="minorEastAsia" w:cs="Arial"/>
          <w:lang w:val="en-GB"/>
        </w:rPr>
        <w:t xml:space="preserve">, and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T</m:t>
            </m:r>
          </m:e>
          <m:sub>
            <m:r>
              <m:rPr>
                <m:sty m:val="bi"/>
              </m:rPr>
              <w:rPr>
                <w:rFonts w:ascii="Cambria Math" w:eastAsiaTheme="minorEastAsia" w:hAnsi="Cambria Math" w:cs="Arial"/>
                <w:lang w:val="en-GB"/>
              </w:rPr>
              <m:t>s</m:t>
            </m:r>
          </m:sub>
        </m:sSub>
      </m:oMath>
      <w:r w:rsidR="00265787" w:rsidRPr="00BF0738">
        <w:rPr>
          <w:rFonts w:eastAsiaTheme="minorEastAsia" w:cs="Arial"/>
          <w:lang w:val="en-GB"/>
        </w:rPr>
        <w:t xml:space="preserve"> are the configured </w:t>
      </w:r>
      <w:r w:rsidR="00265787" w:rsidRPr="00BF0738">
        <w:rPr>
          <w:rFonts w:eastAsia="Calibri" w:cs="Arial"/>
          <w:szCs w:val="20"/>
          <w:lang w:val="en-GB"/>
        </w:rPr>
        <w:t>periodicity, offset and duration</w:t>
      </w:r>
      <w:r w:rsidR="008D2D90">
        <w:rPr>
          <w:rFonts w:eastAsia="Calibri" w:cs="Arial"/>
          <w:szCs w:val="20"/>
          <w:lang w:val="en-GB"/>
        </w:rPr>
        <w:t>, respectively,</w:t>
      </w:r>
      <w:r w:rsidR="00265787" w:rsidRPr="00BF0738">
        <w:rPr>
          <w:rFonts w:eastAsia="Calibri" w:cs="Arial"/>
          <w:szCs w:val="20"/>
          <w:lang w:val="en-GB"/>
        </w:rPr>
        <w:t xml:space="preserve"> of the search space </w:t>
      </w:r>
      <m:oMath>
        <m:r>
          <m:rPr>
            <m:sty m:val="bi"/>
          </m:rPr>
          <w:rPr>
            <w:rFonts w:ascii="Cambria Math" w:eastAsia="Calibri" w:hAnsi="Cambria Math" w:cs="Arial"/>
            <w:szCs w:val="20"/>
            <w:lang w:val="en-GB"/>
          </w:rPr>
          <m:t>s</m:t>
        </m:r>
      </m:oMath>
      <w:r w:rsidR="00D85D14">
        <w:rPr>
          <w:rFonts w:eastAsia="Calibri" w:cs="Arial"/>
          <w:szCs w:val="20"/>
          <w:lang w:val="en-GB"/>
        </w:rPr>
        <w:t>.</w:t>
      </w:r>
      <w:bookmarkEnd w:id="8"/>
    </w:p>
    <w:p w14:paraId="44B3EB5D" w14:textId="77777777" w:rsidR="00177A08" w:rsidRDefault="00177A08" w:rsidP="002D714A">
      <w:pPr>
        <w:pStyle w:val="BodyText"/>
      </w:pPr>
    </w:p>
    <w:p w14:paraId="0FF60E25" w14:textId="622DE57E" w:rsidR="002D714A" w:rsidRDefault="002D714A" w:rsidP="002D714A">
      <w:pPr>
        <w:pStyle w:val="BodyText"/>
      </w:pPr>
      <w:r>
        <w:t xml:space="preserve">In </w:t>
      </w:r>
      <w:r w:rsidR="008663F7">
        <w:t>Rel-15</w:t>
      </w:r>
      <w:r>
        <w:t xml:space="preserve"> </w:t>
      </w:r>
      <w:r w:rsidR="008663F7">
        <w:t>for</w:t>
      </w:r>
      <w:r>
        <w:t xml:space="preserve"> </w:t>
      </w:r>
      <w:r w:rsidR="00671080">
        <w:t>slot</w:t>
      </w:r>
      <w:r w:rsidR="008663F7">
        <w:t>-</w:t>
      </w:r>
      <w:r w:rsidR="00671080">
        <w:t>based</w:t>
      </w:r>
      <w:r>
        <w:t xml:space="preserve"> PDCCH monitoring, </w:t>
      </w:r>
      <w:r w:rsidR="008663F7">
        <w:t xml:space="preserve">the following UE capabilities </w:t>
      </w:r>
      <w:r w:rsidR="00FC6860">
        <w:fldChar w:fldCharType="begin"/>
      </w:r>
      <w:r w:rsidR="00FC6860">
        <w:instrText xml:space="preserve"> REF _Ref87001105 \r \h </w:instrText>
      </w:r>
      <w:r w:rsidR="00FC6860">
        <w:fldChar w:fldCharType="separate"/>
      </w:r>
      <w:r w:rsidR="00357B6D">
        <w:t>[4]</w:t>
      </w:r>
      <w:r w:rsidR="00FC6860">
        <w:fldChar w:fldCharType="end"/>
      </w:r>
      <w:r w:rsidR="00FC6860">
        <w:t xml:space="preserve"> </w:t>
      </w:r>
      <w:r w:rsidR="008663F7">
        <w:t>are defined with respect to which OFDM symbols within a slot shall be monitored which is related to the configuration</w:t>
      </w:r>
      <w:r>
        <w:t xml:space="preserve"> parameter </w:t>
      </w:r>
      <w:proofErr w:type="spellStart"/>
      <w:r w:rsidRPr="00390B31">
        <w:rPr>
          <w:i/>
          <w:iCs/>
        </w:rPr>
        <w:t>monitoringSymbolsWithinSlot</w:t>
      </w:r>
      <w:proofErr w:type="spellEnd"/>
      <w:r>
        <w:t>:</w:t>
      </w:r>
    </w:p>
    <w:p w14:paraId="01208ACD" w14:textId="557C7E22" w:rsidR="006411DB" w:rsidRDefault="006411DB" w:rsidP="00647205">
      <w:pPr>
        <w:pStyle w:val="BodyText"/>
        <w:numPr>
          <w:ilvl w:val="0"/>
          <w:numId w:val="35"/>
        </w:numPr>
        <w:contextualSpacing/>
      </w:pPr>
      <w:r>
        <w:t>Mandatory UE capability (</w:t>
      </w:r>
      <w:r w:rsidR="003D4136">
        <w:t>FG 3-1</w:t>
      </w:r>
      <w:r>
        <w:t>)</w:t>
      </w:r>
    </w:p>
    <w:p w14:paraId="218EF17D" w14:textId="5D6B28E3" w:rsidR="003D4136" w:rsidRDefault="003D4136" w:rsidP="00647205">
      <w:pPr>
        <w:pStyle w:val="BodyText"/>
        <w:numPr>
          <w:ilvl w:val="1"/>
          <w:numId w:val="35"/>
        </w:numPr>
        <w:contextualSpacing/>
      </w:pPr>
      <w:r>
        <w:t xml:space="preserve">Group (1) </w:t>
      </w:r>
      <w:r w:rsidR="008663F7">
        <w:t>SSs monitored</w:t>
      </w:r>
      <w:r>
        <w:t xml:space="preserve"> in first 3 OFDM symbols of a slot</w:t>
      </w:r>
    </w:p>
    <w:p w14:paraId="1A79C991" w14:textId="7AC56BF0" w:rsidR="003D4136" w:rsidRDefault="003D4136" w:rsidP="00647205">
      <w:pPr>
        <w:pStyle w:val="BodyText"/>
        <w:numPr>
          <w:ilvl w:val="1"/>
          <w:numId w:val="35"/>
        </w:numPr>
      </w:pPr>
      <w:r>
        <w:t xml:space="preserve">Group (2) </w:t>
      </w:r>
      <w:r w:rsidR="008663F7">
        <w:t>SS monitored</w:t>
      </w:r>
      <w:r>
        <w:t xml:space="preserve"> in any single span of 3-consecutive symbols in a slot</w:t>
      </w:r>
    </w:p>
    <w:p w14:paraId="4B1434EF" w14:textId="59EFA9A5" w:rsidR="003D4136" w:rsidRDefault="003D4136" w:rsidP="00647205">
      <w:pPr>
        <w:pStyle w:val="BodyText"/>
        <w:numPr>
          <w:ilvl w:val="0"/>
          <w:numId w:val="35"/>
        </w:numPr>
        <w:contextualSpacing/>
      </w:pPr>
      <w:r>
        <w:t>Optional UE capability (FG 3-5), also known as Case 2 monitoring</w:t>
      </w:r>
    </w:p>
    <w:p w14:paraId="71C79FE7" w14:textId="3285C290" w:rsidR="003D4136" w:rsidRDefault="003D4136" w:rsidP="00647205">
      <w:pPr>
        <w:pStyle w:val="BodyText"/>
        <w:numPr>
          <w:ilvl w:val="1"/>
          <w:numId w:val="35"/>
        </w:numPr>
      </w:pPr>
      <w:r>
        <w:t>Group (</w:t>
      </w:r>
      <w:r w:rsidR="008663F7">
        <w:t>1</w:t>
      </w:r>
      <w:r>
        <w:t xml:space="preserve">) </w:t>
      </w:r>
      <w:r w:rsidR="008663F7">
        <w:t>SSs monitored</w:t>
      </w:r>
      <w:r>
        <w:t xml:space="preserve"> in any OFDM symbols of a slot</w:t>
      </w:r>
    </w:p>
    <w:p w14:paraId="541FE122" w14:textId="5EFABD78" w:rsidR="008D2D90" w:rsidRDefault="008663F7" w:rsidP="005D3D16">
      <w:pPr>
        <w:pStyle w:val="BodyText"/>
      </w:pPr>
      <w:proofErr w:type="gramStart"/>
      <w:r>
        <w:t>w</w:t>
      </w:r>
      <w:r w:rsidR="003D4136">
        <w:t>here</w:t>
      </w:r>
      <w:proofErr w:type="gramEnd"/>
    </w:p>
    <w:p w14:paraId="03C3CCD6" w14:textId="4F97B1C5" w:rsidR="003D4136" w:rsidRDefault="003D4136" w:rsidP="00647205">
      <w:pPr>
        <w:pStyle w:val="BodyText"/>
        <w:numPr>
          <w:ilvl w:val="0"/>
          <w:numId w:val="39"/>
        </w:numPr>
        <w:contextualSpacing/>
      </w:pPr>
      <w:r>
        <w:t>Group (1) consists of Type 1 CSS with dedicated RRC configuration, Type 3 CSS, UE specific SS</w:t>
      </w:r>
    </w:p>
    <w:p w14:paraId="34E29FA6" w14:textId="41F813F4" w:rsidR="003D4136" w:rsidRDefault="003D4136" w:rsidP="00647205">
      <w:pPr>
        <w:pStyle w:val="BodyText"/>
        <w:numPr>
          <w:ilvl w:val="0"/>
          <w:numId w:val="39"/>
        </w:numPr>
      </w:pPr>
      <w:r>
        <w:t>Group (2) consists of Type 1 CSS without dedicated RRC configuration and Type0, 0A, and 2 CSS</w:t>
      </w:r>
    </w:p>
    <w:p w14:paraId="1391B142" w14:textId="23FFBDD0" w:rsidR="00C42E10" w:rsidRDefault="00C42E10" w:rsidP="00C42E10">
      <w:pPr>
        <w:pStyle w:val="Heading3"/>
      </w:pPr>
      <w:bookmarkStart w:id="9" w:name="_Toc86845006"/>
      <w:r>
        <w:t>2.1.1</w:t>
      </w:r>
      <w:r>
        <w:tab/>
      </w:r>
      <w:r w:rsidR="00FF4831">
        <w:t xml:space="preserve">Definition of slot groups for </w:t>
      </w:r>
      <w:r w:rsidR="005C1078">
        <w:t>multi-slot PDCCH monitoring</w:t>
      </w:r>
      <w:bookmarkEnd w:id="9"/>
      <w:r w:rsidR="004E7639">
        <w:t xml:space="preserve"> </w:t>
      </w:r>
    </w:p>
    <w:p w14:paraId="12B14254" w14:textId="625B8740" w:rsidR="004E7639" w:rsidRDefault="00C42E10" w:rsidP="00C42E10">
      <w:pPr>
        <w:rPr>
          <w:lang w:val="en-GB" w:eastAsia="ja-JP"/>
        </w:rPr>
      </w:pPr>
      <w:r>
        <w:rPr>
          <w:lang w:val="en-GB" w:eastAsia="ja-JP"/>
        </w:rPr>
        <w:t xml:space="preserve">For Rel-17 480/960 kHz SCS with multi-slot PDCCH monitoring, the extensive discussion during RAN1 #106b pointed to the </w:t>
      </w:r>
      <w:r w:rsidR="004E7639">
        <w:rPr>
          <w:lang w:val="en-GB" w:eastAsia="ja-JP"/>
        </w:rPr>
        <w:t xml:space="preserve">essential </w:t>
      </w:r>
      <w:r>
        <w:rPr>
          <w:lang w:val="en-GB" w:eastAsia="ja-JP"/>
        </w:rPr>
        <w:t xml:space="preserve">benefits of aligning the slots containing monitoring occasions within a slot group for both Group (1) and Group (2) search spaces. </w:t>
      </w:r>
      <w:r w:rsidR="00255A60">
        <w:rPr>
          <w:lang w:val="en-GB" w:eastAsia="ja-JP"/>
        </w:rPr>
        <w:t xml:space="preserve">However, it was recognized that </w:t>
      </w:r>
      <w:r w:rsidR="00560381">
        <w:rPr>
          <w:lang w:val="en-GB" w:eastAsia="ja-JP"/>
        </w:rPr>
        <w:t xml:space="preserve">the </w:t>
      </w:r>
      <w:r w:rsidR="00255A60">
        <w:rPr>
          <w:lang w:val="en-GB" w:eastAsia="ja-JP"/>
        </w:rPr>
        <w:t xml:space="preserve">monitoring occasions </w:t>
      </w:r>
      <w:r w:rsidR="00DE49B3">
        <w:rPr>
          <w:lang w:val="en-GB" w:eastAsia="ja-JP"/>
        </w:rPr>
        <w:t>of Group (1) search spaces are determined by semi-static RRC configuration</w:t>
      </w:r>
      <w:r w:rsidR="00560381">
        <w:rPr>
          <w:lang w:val="en-GB" w:eastAsia="ja-JP"/>
        </w:rPr>
        <w:t xml:space="preserve"> while the monitoring occasions of Group (2) search spaces may change </w:t>
      </w:r>
      <w:r w:rsidR="00CD2C08">
        <w:rPr>
          <w:lang w:val="en-GB" w:eastAsia="ja-JP"/>
        </w:rPr>
        <w:t xml:space="preserve">when the </w:t>
      </w:r>
      <w:r w:rsidR="00412FF3">
        <w:rPr>
          <w:lang w:val="en-GB" w:eastAsia="ja-JP"/>
        </w:rPr>
        <w:t>UE changes the preferred SS/PBCH block.</w:t>
      </w:r>
    </w:p>
    <w:p w14:paraId="089BAA8D" w14:textId="5D580B8F" w:rsidR="00F52F60" w:rsidRDefault="00502184" w:rsidP="00C42E10">
      <w:pPr>
        <w:rPr>
          <w:lang w:val="en-GB" w:eastAsia="ja-JP"/>
        </w:rPr>
      </w:pPr>
      <w:r>
        <w:rPr>
          <w:lang w:val="en-GB" w:eastAsia="ja-JP"/>
        </w:rPr>
        <w:t xml:space="preserve">A proposal </w:t>
      </w:r>
      <w:r w:rsidR="001664C3">
        <w:rPr>
          <w:lang w:val="en-GB" w:eastAsia="ja-JP"/>
        </w:rPr>
        <w:t xml:space="preserve">was put forth during the RAN1 #106b email discussion that the </w:t>
      </w:r>
      <w:r w:rsidR="00F6792E">
        <w:rPr>
          <w:lang w:val="en-GB" w:eastAsia="ja-JP"/>
        </w:rPr>
        <w:t xml:space="preserve">monitoring </w:t>
      </w:r>
      <w:r w:rsidR="001664C3">
        <w:rPr>
          <w:lang w:val="en-GB" w:eastAsia="ja-JP"/>
        </w:rPr>
        <w:t xml:space="preserve">slot offset of </w:t>
      </w:r>
      <w:r w:rsidR="00F6792E">
        <w:rPr>
          <w:lang w:val="en-GB" w:eastAsia="ja-JP"/>
        </w:rPr>
        <w:t>the Group (1) search space</w:t>
      </w:r>
      <w:r w:rsidR="00442805">
        <w:rPr>
          <w:lang w:val="en-GB" w:eastAsia="ja-JP"/>
        </w:rPr>
        <w:t xml:space="preserve">s within </w:t>
      </w:r>
      <w:r w:rsidR="0051612E">
        <w:rPr>
          <w:lang w:val="en-GB" w:eastAsia="ja-JP"/>
        </w:rPr>
        <w:t>the X-slot groups</w:t>
      </w:r>
      <w:r w:rsidR="00F6792E">
        <w:rPr>
          <w:lang w:val="en-GB" w:eastAsia="ja-JP"/>
        </w:rPr>
        <w:t xml:space="preserve"> </w:t>
      </w:r>
      <w:r w:rsidR="0084744C">
        <w:rPr>
          <w:lang w:val="en-GB" w:eastAsia="ja-JP"/>
        </w:rPr>
        <w:t>should be tied to the slot offset</w:t>
      </w:r>
      <w:r w:rsidR="0051612E">
        <w:rPr>
          <w:lang w:val="en-GB" w:eastAsia="ja-JP"/>
        </w:rPr>
        <w:t xml:space="preserve"> within the</w:t>
      </w:r>
      <w:r w:rsidR="0084744C">
        <w:rPr>
          <w:lang w:val="en-GB" w:eastAsia="ja-JP"/>
        </w:rPr>
        <w:t xml:space="preserve"> </w:t>
      </w:r>
      <w:r w:rsidR="0051612E">
        <w:rPr>
          <w:lang w:val="en-GB" w:eastAsia="ja-JP"/>
        </w:rPr>
        <w:t xml:space="preserve">X-slot groups </w:t>
      </w:r>
      <w:r w:rsidR="0084744C">
        <w:rPr>
          <w:lang w:val="en-GB" w:eastAsia="ja-JP"/>
        </w:rPr>
        <w:t xml:space="preserve">of the Group (2) search space. </w:t>
      </w:r>
      <w:r w:rsidR="00F52F60">
        <w:rPr>
          <w:rFonts w:eastAsiaTheme="minorEastAsia"/>
          <w:lang w:val="en-GB" w:eastAsia="ja-JP"/>
        </w:rPr>
        <w:t xml:space="preserve">We show an example of </w:t>
      </w:r>
      <w:r w:rsidR="00F52F60">
        <w:t xml:space="preserve">defining fixed X-slot group boundaries in </w:t>
      </w:r>
      <w:r w:rsidR="00F52F60">
        <w:fldChar w:fldCharType="begin"/>
      </w:r>
      <w:r w:rsidR="00F52F60">
        <w:instrText xml:space="preserve"> REF _Ref86764313 \h </w:instrText>
      </w:r>
      <w:r w:rsidR="00F52F60">
        <w:fldChar w:fldCharType="separate"/>
      </w:r>
      <w:r w:rsidR="00357B6D" w:rsidRPr="009B6F32">
        <w:t xml:space="preserve">Figure </w:t>
      </w:r>
      <w:r w:rsidR="00357B6D">
        <w:rPr>
          <w:noProof/>
        </w:rPr>
        <w:t>1</w:t>
      </w:r>
      <w:r w:rsidR="00F52F60">
        <w:fldChar w:fldCharType="end"/>
      </w:r>
      <w:r w:rsidR="00F52F60">
        <w:t xml:space="preserve">. In this example, </w:t>
      </w:r>
      <w:r w:rsidR="00F52F60">
        <w:rPr>
          <w:rFonts w:eastAsiaTheme="minorEastAsia"/>
        </w:rPr>
        <w:t xml:space="preserve">the first monitoring slot for type0 PDCCH is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=22</m:t>
        </m:r>
      </m:oMath>
      <w:r w:rsidR="00F52F60">
        <w:rPr>
          <w:rFonts w:eastAsiaTheme="minorEastAsia"/>
        </w:rPr>
        <w:t xml:space="preserve">. With X=4, a monitoring slot offset within slot group can be computed as 22 mod 4 = 2. This monitoring slot offset within </w:t>
      </w:r>
      <w:r w:rsidR="00584C0C">
        <w:rPr>
          <w:rFonts w:eastAsiaTheme="minorEastAsia"/>
        </w:rPr>
        <w:t xml:space="preserve">the </w:t>
      </w:r>
      <w:r w:rsidR="00F52F60">
        <w:rPr>
          <w:rFonts w:eastAsiaTheme="minorEastAsia"/>
        </w:rPr>
        <w:t xml:space="preserve">slot group </w:t>
      </w:r>
      <w:r w:rsidR="00584C0C">
        <w:rPr>
          <w:rFonts w:eastAsiaTheme="minorEastAsia"/>
        </w:rPr>
        <w:t xml:space="preserve">is </w:t>
      </w:r>
      <w:r w:rsidR="00F52F60">
        <w:rPr>
          <w:rFonts w:eastAsiaTheme="minorEastAsia"/>
        </w:rPr>
        <w:t>then to be applied to Group (1) search spaces such that the monitoring slots of both Group (1) and Group (2) search spaces can be aligned.</w:t>
      </w:r>
    </w:p>
    <w:p w14:paraId="6500738F" w14:textId="77777777" w:rsidR="00F52F60" w:rsidRDefault="00F52F60" w:rsidP="00F52F60">
      <w:pPr>
        <w:rPr>
          <w:lang w:val="en-GB" w:eastAsia="ja-JP"/>
        </w:rPr>
      </w:pPr>
      <w:r w:rsidRPr="006F0598">
        <w:rPr>
          <w:noProof/>
        </w:rPr>
        <w:drawing>
          <wp:inline distT="0" distB="0" distL="0" distR="0" wp14:anchorId="015AF428" wp14:editId="19554B5F">
            <wp:extent cx="6120765" cy="120205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02055"/>
                    </a:xfrm>
                    <a:prstGeom prst="rect">
                      <a:avLst/>
                    </a:prstGeom>
                    <a:noFill/>
                    <a:ln>
                      <a:noFill/>
                    </a:ln>
                  </pic:spPr>
                </pic:pic>
              </a:graphicData>
            </a:graphic>
          </wp:inline>
        </w:drawing>
      </w:r>
    </w:p>
    <w:p w14:paraId="5D5E2FC1" w14:textId="083C4C6C" w:rsidR="00F52F60" w:rsidRDefault="00F52F60" w:rsidP="00F52F60">
      <w:pPr>
        <w:pStyle w:val="TF"/>
        <w:jc w:val="both"/>
        <w:rPr>
          <w:lang w:val="en-US"/>
        </w:rPr>
      </w:pPr>
      <w:bookmarkStart w:id="10" w:name="_Ref8676431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357B6D">
        <w:rPr>
          <w:noProof/>
          <w:lang w:val="en-US"/>
        </w:rPr>
        <w:t>1</w:t>
      </w:r>
      <w:r w:rsidRPr="009B6F32">
        <w:rPr>
          <w:lang w:val="en-US"/>
        </w:rPr>
        <w:fldChar w:fldCharType="end"/>
      </w:r>
      <w:bookmarkEnd w:id="10"/>
      <w:r w:rsidRPr="009B6F32">
        <w:rPr>
          <w:lang w:val="en-US"/>
        </w:rPr>
        <w:t xml:space="preserve">: </w:t>
      </w:r>
      <w:r>
        <w:rPr>
          <w:lang w:val="en-US"/>
        </w:rPr>
        <w:t xml:space="preserve">Examples of defining fixed X-slot group boundaries. A slot offset within X-slot group based on the </w:t>
      </w:r>
      <w:r w:rsidRPr="00A136C8">
        <w:rPr>
          <w:bCs/>
          <w:lang w:val="en-GB"/>
        </w:rPr>
        <w:t xml:space="preserve">first monitoring slot </w:t>
      </w:r>
      <m:oMath>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0</m:t>
            </m:r>
          </m:sub>
        </m:sSub>
      </m:oMath>
      <w:r w:rsidRPr="00A136C8">
        <w:rPr>
          <w:bCs/>
          <w:lang w:val="en-GB"/>
        </w:rPr>
        <w:t xml:space="preserve"> for the type0 PDCCH</w:t>
      </w:r>
      <w:r>
        <w:rPr>
          <w:bCs/>
          <w:lang w:val="en-GB"/>
        </w:rPr>
        <w:t xml:space="preserve"> is applied to the monitoring occasions of Group (1) search spaces. This example is for X=4 and Y</w:t>
      </w:r>
      <w:r w:rsidR="00585F3D" w:rsidRPr="00585F3D">
        <w:rPr>
          <w:bCs/>
          <w:vertAlign w:val="subscript"/>
          <w:lang w:val="en-GB"/>
        </w:rPr>
        <w:t>group1</w:t>
      </w:r>
      <w:r>
        <w:rPr>
          <w:bCs/>
          <w:lang w:val="en-GB"/>
        </w:rPr>
        <w:t>=1.</w:t>
      </w:r>
    </w:p>
    <w:p w14:paraId="03737948" w14:textId="26D911A9" w:rsidR="00255A60" w:rsidRDefault="0084744C" w:rsidP="00C42E10">
      <w:pPr>
        <w:rPr>
          <w:rFonts w:eastAsiaTheme="minorEastAsia"/>
          <w:lang w:val="en-GB" w:eastAsia="ja-JP"/>
        </w:rPr>
      </w:pPr>
      <w:r>
        <w:rPr>
          <w:lang w:val="en-GB" w:eastAsia="ja-JP"/>
        </w:rPr>
        <w:lastRenderedPageBreak/>
        <w:t xml:space="preserve">The proposal </w:t>
      </w:r>
      <w:r w:rsidR="00FE0F3A">
        <w:rPr>
          <w:lang w:val="en-GB" w:eastAsia="ja-JP"/>
        </w:rPr>
        <w:t>is consistent with the view that X-slot groups are first defined</w:t>
      </w:r>
      <w:r w:rsidR="00584C0C">
        <w:rPr>
          <w:lang w:val="en-GB" w:eastAsia="ja-JP"/>
        </w:rPr>
        <w:t>,</w:t>
      </w:r>
      <w:r w:rsidR="00FE0F3A">
        <w:rPr>
          <w:lang w:val="en-GB" w:eastAsia="ja-JP"/>
        </w:rPr>
        <w:t xml:space="preserve"> and then </w:t>
      </w:r>
      <w:r w:rsidR="00B61994">
        <w:rPr>
          <w:lang w:val="en-GB" w:eastAsia="ja-JP"/>
        </w:rPr>
        <w:t xml:space="preserve">the monitoring occasions of a search space may be located </w:t>
      </w:r>
      <w:r w:rsidR="0051612E">
        <w:rPr>
          <w:lang w:val="en-GB" w:eastAsia="ja-JP"/>
        </w:rPr>
        <w:t xml:space="preserve">with </w:t>
      </w:r>
      <w:r w:rsidR="00B61994">
        <w:rPr>
          <w:lang w:val="en-GB" w:eastAsia="ja-JP"/>
        </w:rPr>
        <w:t xml:space="preserve">offset(s) from the start of the X-slot groups </w:t>
      </w:r>
      <w:r w:rsidR="00C4165C">
        <w:rPr>
          <w:lang w:val="en-GB" w:eastAsia="ja-JP"/>
        </w:rPr>
        <w:t xml:space="preserve">that should also be fixed across different X-slot groups (until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m:t>
            </m:r>
          </m:sub>
        </m:sSub>
      </m:oMath>
      <w:r w:rsidR="00C4165C">
        <w:rPr>
          <w:rFonts w:eastAsiaTheme="minorEastAsia"/>
          <w:lang w:val="en-GB" w:eastAsia="ja-JP"/>
        </w:rPr>
        <w:t xml:space="preserve"> changes). There are hence several </w:t>
      </w:r>
      <w:r w:rsidR="000901F5">
        <w:rPr>
          <w:rFonts w:eastAsiaTheme="minorEastAsia"/>
          <w:lang w:val="en-GB" w:eastAsia="ja-JP"/>
        </w:rPr>
        <w:t xml:space="preserve">offsets and </w:t>
      </w:r>
      <w:r w:rsidR="004F7C1D">
        <w:rPr>
          <w:rFonts w:eastAsiaTheme="minorEastAsia"/>
          <w:lang w:val="en-GB" w:eastAsia="ja-JP"/>
        </w:rPr>
        <w:t xml:space="preserve">monitoring </w:t>
      </w:r>
      <w:r w:rsidR="000901F5">
        <w:rPr>
          <w:rFonts w:eastAsiaTheme="minorEastAsia"/>
          <w:lang w:val="en-GB" w:eastAsia="ja-JP"/>
        </w:rPr>
        <w:t xml:space="preserve">boundaries at play. And that appeared to cause </w:t>
      </w:r>
      <w:r w:rsidR="00D76179">
        <w:rPr>
          <w:rFonts w:eastAsiaTheme="minorEastAsia"/>
          <w:lang w:val="en-GB" w:eastAsia="ja-JP"/>
        </w:rPr>
        <w:t>obstacle to a common language and understanding amongst the participating discussion partners.</w:t>
      </w:r>
    </w:p>
    <w:p w14:paraId="30692DF8" w14:textId="2E89B19D" w:rsidR="00692916" w:rsidRPr="009C0FF6" w:rsidRDefault="00692916" w:rsidP="00672E28">
      <w:pPr>
        <w:pStyle w:val="Observation"/>
        <w:rPr>
          <w:lang w:val="en-GB"/>
        </w:rPr>
      </w:pPr>
      <w:bookmarkStart w:id="11" w:name="_Toc87014486"/>
      <w:r>
        <w:t xml:space="preserve">For </w:t>
      </w:r>
      <w:r w:rsidRPr="009C0FF6">
        <w:rPr>
          <w:rFonts w:eastAsiaTheme="minorEastAsia"/>
        </w:rPr>
        <w:t>operation with 480/960 kHz SCS</w:t>
      </w:r>
      <w:r>
        <w:t xml:space="preserve"> </w:t>
      </w:r>
      <w:r w:rsidRPr="009C0FF6">
        <w:rPr>
          <w:lang w:val="en-GB"/>
        </w:rPr>
        <w:t>multi-slot PDCCH monitoring</w:t>
      </w:r>
      <w:r>
        <w:t>,</w:t>
      </w:r>
      <w:r w:rsidR="001F0954">
        <w:t xml:space="preserve"> </w:t>
      </w:r>
      <w:r w:rsidR="001F0954" w:rsidRPr="009C0FF6">
        <w:rPr>
          <w:rFonts w:eastAsiaTheme="minorEastAsia"/>
          <w:lang w:val="en-GB"/>
        </w:rPr>
        <w:t xml:space="preserve">common language and understanding is hindered by </w:t>
      </w:r>
      <w:r w:rsidR="007D1437" w:rsidRPr="009C0FF6">
        <w:rPr>
          <w:rFonts w:eastAsiaTheme="minorEastAsia"/>
          <w:lang w:val="en-GB"/>
        </w:rPr>
        <w:t>the required definitions of several offsets and monitoring boundaries</w:t>
      </w:r>
      <w:r w:rsidR="00584C0C">
        <w:rPr>
          <w:rFonts w:eastAsiaTheme="minorEastAsia"/>
          <w:lang w:val="en-GB"/>
        </w:rPr>
        <w:t>,</w:t>
      </w:r>
      <w:r w:rsidR="007D1437" w:rsidRPr="009C0FF6">
        <w:rPr>
          <w:rFonts w:eastAsiaTheme="minorEastAsia"/>
          <w:lang w:val="en-GB"/>
        </w:rPr>
        <w:t xml:space="preserve"> if </w:t>
      </w:r>
      <w:r w:rsidR="009C0FF6" w:rsidRPr="009C0FF6">
        <w:rPr>
          <w:rFonts w:eastAsiaTheme="minorEastAsia"/>
          <w:lang w:val="en-GB"/>
        </w:rPr>
        <w:t>the discussion starts with fixed X-slot group boundaries.</w:t>
      </w:r>
      <w:bookmarkEnd w:id="11"/>
    </w:p>
    <w:p w14:paraId="6E71E3C8" w14:textId="0F89664E" w:rsidR="002B1F51" w:rsidRDefault="002B1F51" w:rsidP="00C42E10">
      <w:pPr>
        <w:rPr>
          <w:lang w:val="en-GB" w:eastAsia="ja-JP"/>
        </w:rPr>
      </w:pPr>
      <w:r w:rsidRPr="00796B11">
        <w:rPr>
          <w:lang w:val="en-GB" w:eastAsia="ja-JP"/>
        </w:rPr>
        <w:t xml:space="preserve">We understand </w:t>
      </w:r>
      <w:r w:rsidR="00823BB9">
        <w:rPr>
          <w:lang w:val="en-GB" w:eastAsia="ja-JP"/>
        </w:rPr>
        <w:t xml:space="preserve">a lot of discussion went into the </w:t>
      </w:r>
      <w:r w:rsidR="00D31D90">
        <w:rPr>
          <w:lang w:val="en-GB" w:eastAsia="ja-JP"/>
        </w:rPr>
        <w:t xml:space="preserve">following </w:t>
      </w:r>
      <w:r w:rsidRPr="00796B11">
        <w:rPr>
          <w:lang w:val="en-GB" w:eastAsia="ja-JP"/>
        </w:rPr>
        <w:t xml:space="preserve">agreement </w:t>
      </w:r>
      <w:r w:rsidR="00D31D90">
        <w:rPr>
          <w:lang w:val="en-GB" w:eastAsia="ja-JP"/>
        </w:rPr>
        <w:t xml:space="preserve">during </w:t>
      </w:r>
      <w:r w:rsidRPr="00796B11">
        <w:rPr>
          <w:lang w:val="en-GB" w:eastAsia="ja-JP"/>
        </w:rPr>
        <w:t>the last meeting</w:t>
      </w:r>
      <w:r w:rsidR="00167B8D">
        <w:rPr>
          <w:lang w:val="en-GB" w:eastAsia="ja-JP"/>
        </w:rPr>
        <w:t>:</w:t>
      </w:r>
    </w:p>
    <w:p w14:paraId="05239FD6" w14:textId="77777777" w:rsidR="008F2CC1" w:rsidRPr="00392E7D" w:rsidRDefault="008F2CC1" w:rsidP="00167B8D">
      <w:pPr>
        <w:numPr>
          <w:ilvl w:val="2"/>
          <w:numId w:val="24"/>
        </w:numPr>
        <w:spacing w:after="120" w:line="240" w:lineRule="auto"/>
        <w:ind w:left="2520"/>
        <w:rPr>
          <w:lang w:eastAsia="x-none"/>
        </w:rPr>
      </w:pPr>
      <w:r w:rsidRPr="00392E7D">
        <w:rPr>
          <w:lang w:eastAsia="x-none"/>
        </w:rPr>
        <w:t>The start of the first slot group in a subframe is aligned with the subframe boundary</w:t>
      </w:r>
    </w:p>
    <w:p w14:paraId="46AA03A3" w14:textId="74182EA7" w:rsidR="005D7AC0" w:rsidRDefault="00B07978" w:rsidP="00C42E10">
      <w:pPr>
        <w:rPr>
          <w:lang w:val="en-GB" w:eastAsia="ja-JP"/>
        </w:rPr>
      </w:pPr>
      <w:r>
        <w:rPr>
          <w:lang w:val="en-GB" w:eastAsia="ja-JP"/>
        </w:rPr>
        <w:t xml:space="preserve">However, based on the discussion during the last meeting, we also observed </w:t>
      </w:r>
      <w:r w:rsidR="006E3BD0">
        <w:rPr>
          <w:lang w:val="en-GB" w:eastAsia="ja-JP"/>
        </w:rPr>
        <w:t xml:space="preserve">much misalignment of understanding </w:t>
      </w:r>
      <w:r w:rsidR="005E159A">
        <w:rPr>
          <w:lang w:val="en-GB" w:eastAsia="ja-JP"/>
        </w:rPr>
        <w:t xml:space="preserve">and </w:t>
      </w:r>
      <w:r w:rsidR="006E3BD0">
        <w:rPr>
          <w:lang w:val="en-GB" w:eastAsia="ja-JP"/>
        </w:rPr>
        <w:t xml:space="preserve">views of the </w:t>
      </w:r>
      <w:r w:rsidR="00D6211E">
        <w:rPr>
          <w:lang w:val="en-GB" w:eastAsia="ja-JP"/>
        </w:rPr>
        <w:t>above-described</w:t>
      </w:r>
      <w:r w:rsidR="006E3BD0">
        <w:rPr>
          <w:lang w:val="en-GB" w:eastAsia="ja-JP"/>
        </w:rPr>
        <w:t xml:space="preserve"> </w:t>
      </w:r>
      <w:r w:rsidR="00A5251B">
        <w:rPr>
          <w:lang w:val="en-GB" w:eastAsia="ja-JP"/>
        </w:rPr>
        <w:t xml:space="preserve">search space offsets. </w:t>
      </w:r>
      <w:r w:rsidR="005E159A">
        <w:rPr>
          <w:lang w:val="en-GB" w:eastAsia="ja-JP"/>
        </w:rPr>
        <w:t xml:space="preserve">The misalignment may lead to further </w:t>
      </w:r>
      <w:r w:rsidR="005D7AC0">
        <w:rPr>
          <w:lang w:val="en-GB" w:eastAsia="ja-JP"/>
        </w:rPr>
        <w:t>roadblocks</w:t>
      </w:r>
      <w:r w:rsidR="005E159A">
        <w:rPr>
          <w:lang w:val="en-GB" w:eastAsia="ja-JP"/>
        </w:rPr>
        <w:t xml:space="preserve"> in finalizing the details of the multi-slot PDCCH monitoring for 480/960 kHz SCS. </w:t>
      </w:r>
    </w:p>
    <w:p w14:paraId="5E88338E" w14:textId="08523E6D" w:rsidR="003B28CB" w:rsidRDefault="005E159A" w:rsidP="00C42E10">
      <w:pPr>
        <w:rPr>
          <w:lang w:val="en-GB" w:eastAsia="ja-JP"/>
        </w:rPr>
      </w:pPr>
      <w:r>
        <w:rPr>
          <w:lang w:val="en-GB" w:eastAsia="ja-JP"/>
        </w:rPr>
        <w:t xml:space="preserve">In the following, we would like to explore whether a simpler and possibly more robust approach </w:t>
      </w:r>
      <w:r w:rsidR="005D7AC0">
        <w:rPr>
          <w:lang w:val="en-GB" w:eastAsia="ja-JP"/>
        </w:rPr>
        <w:t xml:space="preserve">can be considered by RAN1. </w:t>
      </w:r>
      <w:r w:rsidR="003B0CD0">
        <w:rPr>
          <w:lang w:val="en-GB" w:eastAsia="ja-JP"/>
        </w:rPr>
        <w:t>Th</w:t>
      </w:r>
      <w:r w:rsidR="00A05502">
        <w:rPr>
          <w:lang w:val="en-GB" w:eastAsia="ja-JP"/>
        </w:rPr>
        <w:t>is</w:t>
      </w:r>
      <w:r w:rsidR="003B0CD0">
        <w:rPr>
          <w:lang w:val="en-GB" w:eastAsia="ja-JP"/>
        </w:rPr>
        <w:t xml:space="preserve"> alternative approach is to consider </w:t>
      </w:r>
      <w:r w:rsidR="00FE2BFE">
        <w:rPr>
          <w:lang w:val="en-GB" w:eastAsia="ja-JP"/>
        </w:rPr>
        <w:t xml:space="preserve">that </w:t>
      </w:r>
    </w:p>
    <w:p w14:paraId="2845498E" w14:textId="718E90FE" w:rsidR="008F2CC1" w:rsidRPr="00DA6849" w:rsidRDefault="00584C0C" w:rsidP="003B28CB">
      <w:pPr>
        <w:pStyle w:val="ListParagraph"/>
        <w:numPr>
          <w:ilvl w:val="0"/>
          <w:numId w:val="34"/>
        </w:numPr>
        <w:spacing w:after="120"/>
        <w:contextualSpacing/>
        <w:rPr>
          <w:rFonts w:ascii="Arial" w:hAnsi="Arial" w:cs="Arial"/>
          <w:b/>
          <w:bCs/>
          <w:sz w:val="20"/>
          <w:szCs w:val="20"/>
          <w:lang w:val="en-GB" w:eastAsia="ja-JP"/>
        </w:rPr>
      </w:pPr>
      <w:r>
        <w:rPr>
          <w:rFonts w:ascii="Arial" w:hAnsi="Arial" w:cs="Arial"/>
          <w:b/>
          <w:bCs/>
          <w:sz w:val="20"/>
          <w:szCs w:val="20"/>
          <w:lang w:val="en-GB" w:eastAsia="ja-JP"/>
        </w:rPr>
        <w:t>T</w:t>
      </w:r>
      <w:r w:rsidR="00FE2BFE" w:rsidRPr="00DA6849">
        <w:rPr>
          <w:rFonts w:ascii="Arial" w:hAnsi="Arial" w:cs="Arial"/>
          <w:b/>
          <w:bCs/>
          <w:sz w:val="20"/>
          <w:szCs w:val="20"/>
          <w:lang w:val="en-GB" w:eastAsia="ja-JP"/>
        </w:rPr>
        <w:t xml:space="preserve">he X-slot group grid/boundaries </w:t>
      </w:r>
      <w:r w:rsidR="00F16467" w:rsidRPr="00DA6849">
        <w:rPr>
          <w:rFonts w:ascii="Arial" w:hAnsi="Arial" w:cs="Arial"/>
          <w:b/>
          <w:bCs/>
          <w:sz w:val="20"/>
          <w:szCs w:val="20"/>
          <w:lang w:val="en-GB" w:eastAsia="ja-JP"/>
        </w:rPr>
        <w:t xml:space="preserve">align with the first monitoring slot </w:t>
      </w:r>
      <m:oMath>
        <m:sSub>
          <m:sSubPr>
            <m:ctrlPr>
              <w:rPr>
                <w:rFonts w:ascii="Cambria Math" w:hAnsi="Cambria Math" w:cs="Arial"/>
                <w:b/>
                <w:bCs/>
                <w:i/>
                <w:sz w:val="20"/>
                <w:szCs w:val="20"/>
                <w:lang w:val="en-GB" w:eastAsia="ja-JP"/>
              </w:rPr>
            </m:ctrlPr>
          </m:sSubPr>
          <m:e>
            <m:r>
              <m:rPr>
                <m:sty m:val="bi"/>
              </m:rPr>
              <w:rPr>
                <w:rFonts w:ascii="Cambria Math" w:hAnsi="Cambria Math" w:cs="Arial"/>
                <w:sz w:val="20"/>
                <w:szCs w:val="20"/>
                <w:lang w:val="en-GB" w:eastAsia="ja-JP"/>
              </w:rPr>
              <m:t>n</m:t>
            </m:r>
          </m:e>
          <m:sub>
            <m:r>
              <m:rPr>
                <m:sty m:val="bi"/>
              </m:rPr>
              <w:rPr>
                <w:rFonts w:ascii="Cambria Math" w:hAnsi="Cambria Math" w:cs="Arial"/>
                <w:sz w:val="20"/>
                <w:szCs w:val="20"/>
                <w:lang w:val="en-GB" w:eastAsia="ja-JP"/>
              </w:rPr>
              <m:t>0</m:t>
            </m:r>
          </m:sub>
        </m:sSub>
      </m:oMath>
      <w:r w:rsidR="00F16467" w:rsidRPr="00DA6849">
        <w:rPr>
          <w:rFonts w:ascii="Arial" w:hAnsi="Arial" w:cs="Arial"/>
          <w:b/>
          <w:bCs/>
          <w:sz w:val="20"/>
          <w:szCs w:val="20"/>
          <w:lang w:val="en-GB" w:eastAsia="ja-JP"/>
        </w:rPr>
        <w:t xml:space="preserve"> for the type0 PDCCH</w:t>
      </w:r>
      <w:r w:rsidR="00644D81">
        <w:rPr>
          <w:rFonts w:ascii="Arial" w:hAnsi="Arial" w:cs="Arial"/>
          <w:b/>
          <w:bCs/>
          <w:sz w:val="20"/>
          <w:szCs w:val="20"/>
          <w:lang w:val="en-GB" w:eastAsia="ja-JP"/>
        </w:rPr>
        <w:t xml:space="preserve"> (and remain</w:t>
      </w:r>
      <w:r w:rsidR="002308A1">
        <w:rPr>
          <w:rFonts w:ascii="Arial" w:hAnsi="Arial" w:cs="Arial"/>
          <w:b/>
          <w:bCs/>
          <w:sz w:val="20"/>
          <w:szCs w:val="20"/>
          <w:lang w:val="en-GB" w:eastAsia="ja-JP"/>
        </w:rPr>
        <w:t xml:space="preserve"> fixed until </w:t>
      </w:r>
      <m:oMath>
        <m:sSub>
          <m:sSubPr>
            <m:ctrlPr>
              <w:rPr>
                <w:rFonts w:ascii="Cambria Math" w:hAnsi="Cambria Math" w:cs="Arial"/>
                <w:b/>
                <w:bCs/>
                <w:i/>
                <w:sz w:val="20"/>
                <w:szCs w:val="20"/>
                <w:lang w:val="en-GB" w:eastAsia="ja-JP"/>
              </w:rPr>
            </m:ctrlPr>
          </m:sSubPr>
          <m:e>
            <m:r>
              <m:rPr>
                <m:sty m:val="bi"/>
              </m:rPr>
              <w:rPr>
                <w:rFonts w:ascii="Cambria Math" w:hAnsi="Cambria Math" w:cs="Arial"/>
                <w:sz w:val="20"/>
                <w:szCs w:val="20"/>
                <w:lang w:val="en-GB" w:eastAsia="ja-JP"/>
              </w:rPr>
              <m:t>n</m:t>
            </m:r>
          </m:e>
          <m:sub>
            <m:r>
              <m:rPr>
                <m:sty m:val="bi"/>
              </m:rPr>
              <w:rPr>
                <w:rFonts w:ascii="Cambria Math" w:hAnsi="Cambria Math" w:cs="Arial"/>
                <w:sz w:val="20"/>
                <w:szCs w:val="20"/>
                <w:lang w:val="en-GB" w:eastAsia="ja-JP"/>
              </w:rPr>
              <m:t>0</m:t>
            </m:r>
          </m:sub>
        </m:sSub>
      </m:oMath>
      <w:r w:rsidR="002308A1">
        <w:rPr>
          <w:rFonts w:ascii="Arial" w:hAnsi="Arial" w:cs="Arial"/>
          <w:b/>
          <w:bCs/>
          <w:sz w:val="20"/>
          <w:szCs w:val="20"/>
          <w:lang w:val="en-GB" w:eastAsia="ja-JP"/>
        </w:rPr>
        <w:t xml:space="preserve"> changes)</w:t>
      </w:r>
      <w:r w:rsidR="004426F5" w:rsidRPr="00DA6849">
        <w:rPr>
          <w:rFonts w:ascii="Arial" w:hAnsi="Arial" w:cs="Arial"/>
          <w:b/>
          <w:bCs/>
          <w:sz w:val="20"/>
          <w:szCs w:val="20"/>
          <w:lang w:val="en-GB" w:eastAsia="ja-JP"/>
        </w:rPr>
        <w:t xml:space="preserve">; </w:t>
      </w:r>
      <w:r w:rsidR="00094CDC">
        <w:rPr>
          <w:rFonts w:ascii="Arial" w:hAnsi="Arial" w:cs="Arial"/>
          <w:b/>
          <w:bCs/>
          <w:sz w:val="20"/>
          <w:szCs w:val="20"/>
          <w:lang w:val="en-GB" w:eastAsia="ja-JP"/>
        </w:rPr>
        <w:t>and</w:t>
      </w:r>
    </w:p>
    <w:p w14:paraId="0CBE52E2" w14:textId="055D65E0" w:rsidR="004426F5" w:rsidRPr="00DA6849" w:rsidRDefault="00584C0C" w:rsidP="003B28CB">
      <w:pPr>
        <w:pStyle w:val="ListParagraph"/>
        <w:numPr>
          <w:ilvl w:val="0"/>
          <w:numId w:val="34"/>
        </w:numPr>
        <w:spacing w:after="120"/>
        <w:contextualSpacing/>
        <w:rPr>
          <w:rFonts w:ascii="Arial" w:hAnsi="Arial" w:cs="Arial"/>
          <w:b/>
          <w:bCs/>
          <w:sz w:val="20"/>
          <w:szCs w:val="20"/>
          <w:lang w:val="en-GB" w:eastAsia="ja-JP"/>
        </w:rPr>
      </w:pPr>
      <w:r>
        <w:rPr>
          <w:rFonts w:ascii="Arial" w:hAnsi="Arial" w:cs="Arial"/>
          <w:b/>
          <w:bCs/>
          <w:sz w:val="20"/>
          <w:szCs w:val="20"/>
          <w:lang w:val="en-GB" w:eastAsia="ja-JP"/>
        </w:rPr>
        <w:t>The m</w:t>
      </w:r>
      <w:r w:rsidR="004426F5" w:rsidRPr="00DA6849">
        <w:rPr>
          <w:rFonts w:ascii="Arial" w:hAnsi="Arial" w:cs="Arial"/>
          <w:b/>
          <w:bCs/>
          <w:sz w:val="20"/>
          <w:szCs w:val="20"/>
          <w:lang w:val="en-GB" w:eastAsia="ja-JP"/>
        </w:rPr>
        <w:t xml:space="preserve">onitoring occasions </w:t>
      </w:r>
      <w:r w:rsidR="002839EE">
        <w:rPr>
          <w:rFonts w:ascii="Arial" w:hAnsi="Arial" w:cs="Arial"/>
          <w:b/>
          <w:bCs/>
          <w:sz w:val="20"/>
          <w:szCs w:val="20"/>
          <w:lang w:val="en-GB" w:eastAsia="ja-JP"/>
        </w:rPr>
        <w:t xml:space="preserve">for Group (1) SSs </w:t>
      </w:r>
      <w:r w:rsidR="004426F5" w:rsidRPr="00DA6849">
        <w:rPr>
          <w:rFonts w:ascii="Arial" w:hAnsi="Arial" w:cs="Arial"/>
          <w:b/>
          <w:bCs/>
          <w:sz w:val="20"/>
          <w:szCs w:val="20"/>
          <w:lang w:val="en-GB" w:eastAsia="ja-JP"/>
        </w:rPr>
        <w:t xml:space="preserve">are </w:t>
      </w:r>
      <w:r w:rsidR="00DC2625" w:rsidRPr="00DA6849">
        <w:rPr>
          <w:rFonts w:ascii="Arial" w:hAnsi="Arial" w:cs="Arial"/>
          <w:b/>
          <w:bCs/>
          <w:sz w:val="20"/>
          <w:szCs w:val="20"/>
          <w:lang w:val="en-GB" w:eastAsia="ja-JP"/>
        </w:rPr>
        <w:t>always placed at the beginning of a slot group.</w:t>
      </w:r>
    </w:p>
    <w:p w14:paraId="3F0AC98F" w14:textId="5D3606A9" w:rsidR="00A15CD9" w:rsidRDefault="00537462" w:rsidP="00A15CD9">
      <w:pPr>
        <w:rPr>
          <w:lang w:val="en-GB" w:eastAsia="ja-JP"/>
        </w:rPr>
      </w:pPr>
      <w:r>
        <w:rPr>
          <w:lang w:val="en-GB" w:eastAsia="ja-JP"/>
        </w:rPr>
        <w:t xml:space="preserve">To align </w:t>
      </w:r>
      <w:r w:rsidR="00254018">
        <w:rPr>
          <w:lang w:val="en-GB" w:eastAsia="ja-JP"/>
        </w:rPr>
        <w:t>the X-slot group</w:t>
      </w:r>
      <w:r w:rsidR="0046739F">
        <w:rPr>
          <w:lang w:val="en-GB" w:eastAsia="ja-JP"/>
        </w:rPr>
        <w:t xml:space="preserve"> boundaries</w:t>
      </w:r>
      <w:r w:rsidR="00254018">
        <w:rPr>
          <w:lang w:val="en-GB" w:eastAsia="ja-JP"/>
        </w:rPr>
        <w:t xml:space="preserve"> </w:t>
      </w:r>
      <w:r>
        <w:rPr>
          <w:lang w:val="en-GB" w:eastAsia="ja-JP"/>
        </w:rPr>
        <w:t xml:space="preserve">with </w:t>
      </w:r>
      <w:r w:rsidR="00254018">
        <w:rPr>
          <w:lang w:val="en-GB" w:eastAsia="ja-JP"/>
        </w:rPr>
        <w:t xml:space="preserve">the first monitoring slot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m:t>
            </m:r>
          </m:sub>
        </m:sSub>
      </m:oMath>
      <w:r w:rsidR="0046739F">
        <w:rPr>
          <w:rFonts w:eastAsiaTheme="minorEastAsia"/>
          <w:lang w:val="en-GB" w:eastAsia="ja-JP"/>
        </w:rPr>
        <w:t xml:space="preserve"> for the type0 PDCCH</w:t>
      </w:r>
      <w:r>
        <w:rPr>
          <w:rFonts w:eastAsiaTheme="minorEastAsia"/>
          <w:lang w:val="en-GB" w:eastAsia="ja-JP"/>
        </w:rPr>
        <w:t>, one can define</w:t>
      </w:r>
      <w:r w:rsidR="00A15CD9">
        <w:rPr>
          <w:rFonts w:eastAsiaTheme="minorEastAsia"/>
          <w:lang w:val="en-GB" w:eastAsia="ja-JP"/>
        </w:rPr>
        <w:t xml:space="preserve"> </w:t>
      </w:r>
      <w:r w:rsidR="00A15CD9">
        <w:rPr>
          <w:lang w:val="en-GB" w:eastAsia="ja-JP"/>
        </w:rPr>
        <w:t xml:space="preserve">a </w:t>
      </w:r>
      <w:r w:rsidR="00A15CD9" w:rsidRPr="00A9596C">
        <w:rPr>
          <w:rFonts w:cs="Arial"/>
          <w:szCs w:val="20"/>
          <w:lang w:val="en-GB" w:eastAsia="ja-JP"/>
        </w:rPr>
        <w:t xml:space="preserve">slot </w:t>
      </w:r>
      <w:r w:rsidR="00584C0C">
        <w:rPr>
          <w:rFonts w:cs="Arial"/>
          <w:szCs w:val="20"/>
          <w:lang w:val="en-GB" w:eastAsia="ja-JP"/>
        </w:rPr>
        <w:t>with index</w:t>
      </w:r>
      <w:r w:rsidR="00A15CD9" w:rsidRPr="00A9596C">
        <w:rPr>
          <w:rFonts w:cs="Arial"/>
          <w:szCs w:val="20"/>
          <w:lang w:val="en-GB" w:eastAsia="ja-JP"/>
        </w:rPr>
        <w:t xml:space="preserve">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n</m:t>
            </m:r>
          </m:e>
          <m:sub>
            <m:r>
              <w:rPr>
                <w:rFonts w:ascii="Cambria Math" w:hAnsi="Cambria Math" w:cs="Arial"/>
                <w:szCs w:val="20"/>
                <w:lang w:val="en-GB" w:eastAsia="ja-JP"/>
              </w:rPr>
              <m:t>s</m:t>
            </m:r>
            <m:r>
              <m:rPr>
                <m:sty m:val="p"/>
              </m:rPr>
              <w:rPr>
                <w:rFonts w:ascii="Cambria Math" w:hAnsi="Cambria Math" w:cs="Arial"/>
                <w:szCs w:val="20"/>
                <w:lang w:val="en-GB" w:eastAsia="ja-JP"/>
              </w:rPr>
              <m:t>,</m:t>
            </m:r>
            <m:r>
              <w:rPr>
                <w:rFonts w:ascii="Cambria Math" w:hAnsi="Cambria Math" w:cs="Arial"/>
                <w:szCs w:val="20"/>
                <w:lang w:val="en-GB" w:eastAsia="ja-JP"/>
              </w:rPr>
              <m:t>f</m:t>
            </m:r>
          </m:sub>
          <m:sup>
            <m:r>
              <w:rPr>
                <w:rFonts w:ascii="Cambria Math" w:hAnsi="Cambria Math" w:cs="Arial"/>
                <w:szCs w:val="20"/>
                <w:lang w:val="en-GB" w:eastAsia="ja-JP"/>
              </w:rPr>
              <m:t>μ</m:t>
            </m:r>
          </m:sup>
        </m:sSubSup>
      </m:oMath>
      <w:r w:rsidR="00A15CD9" w:rsidRPr="00A9596C">
        <w:rPr>
          <w:rFonts w:cs="Arial"/>
          <w:szCs w:val="20"/>
          <w:lang w:val="en-GB" w:eastAsia="ja-JP"/>
        </w:rPr>
        <w:t xml:space="preserve"> in a frame with </w:t>
      </w:r>
      <w:r w:rsidR="00584C0C">
        <w:rPr>
          <w:rFonts w:cs="Arial"/>
          <w:szCs w:val="20"/>
          <w:lang w:val="en-GB" w:eastAsia="ja-JP"/>
        </w:rPr>
        <w:t>index</w:t>
      </w:r>
      <w:r w:rsidR="00584C0C" w:rsidRPr="00A9596C">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n</m:t>
            </m:r>
          </m:e>
          <m:sub>
            <m:r>
              <w:rPr>
                <w:rFonts w:ascii="Cambria Math" w:hAnsi="Cambria Math" w:cs="Arial"/>
                <w:szCs w:val="20"/>
                <w:lang w:val="en-GB" w:eastAsia="ja-JP"/>
              </w:rPr>
              <m:t>f</m:t>
            </m:r>
          </m:sub>
        </m:sSub>
      </m:oMath>
      <w:r w:rsidR="00A15CD9" w:rsidRPr="00A9596C">
        <w:rPr>
          <w:rFonts w:cs="Arial"/>
          <w:szCs w:val="20"/>
          <w:lang w:val="en-GB" w:eastAsia="ja-JP"/>
        </w:rPr>
        <w:t xml:space="preserve"> </w:t>
      </w:r>
      <w:r w:rsidR="00584C0C">
        <w:rPr>
          <w:rFonts w:cs="Arial"/>
          <w:szCs w:val="20"/>
          <w:lang w:val="en-GB" w:eastAsia="ja-JP"/>
        </w:rPr>
        <w:t>as</w:t>
      </w:r>
      <w:r w:rsidR="00A15CD9">
        <w:rPr>
          <w:rFonts w:cs="Arial"/>
          <w:szCs w:val="20"/>
          <w:lang w:val="en-GB" w:eastAsia="ja-JP"/>
        </w:rPr>
        <w:t xml:space="preserve"> the first slot of a X-slot group if</w:t>
      </w:r>
    </w:p>
    <w:p w14:paraId="1BE3484C" w14:textId="102745A2" w:rsidR="00A15CD9" w:rsidRPr="00844C0B" w:rsidRDefault="00415413" w:rsidP="00A15CD9">
      <w:pPr>
        <w:rPr>
          <w:i/>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f</m:t>
                  </m:r>
                </m:sub>
              </m:sSub>
              <m:r>
                <w:rPr>
                  <w:rFonts w:ascii="Cambria Math" w:hAnsi="Cambria Math"/>
                  <w:lang w:val="en-GB" w:eastAsia="ja-JP"/>
                </w:rPr>
                <m:t>⋅</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frame, μ</m:t>
                  </m:r>
                </m:sup>
              </m:sSubSup>
              <m:r>
                <w:rPr>
                  <w:rFonts w:ascii="Cambria Math" w:hAnsi="Cambria Math"/>
                  <w:lang w:val="en-GB" w:eastAsia="ja-JP"/>
                </w:rPr>
                <m:t xml:space="preserve">+ </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s,f </m:t>
                  </m:r>
                </m:sub>
                <m:sup>
                  <m:r>
                    <w:rPr>
                      <w:rFonts w:ascii="Cambria Math" w:hAnsi="Cambria Math"/>
                      <w:lang w:val="en-GB" w:eastAsia="ja-JP"/>
                    </w:rPr>
                    <m:t>μ</m:t>
                  </m:r>
                </m:sup>
              </m:sSubSup>
              <m:r>
                <w:rPr>
                  <w:rFonts w:ascii="Cambria Math" w:hAnsi="Cambria Math"/>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n</m:t>
                  </m:r>
                  <m:ctrlPr>
                    <w:rPr>
                      <w:rFonts w:ascii="Cambria Math" w:hAnsi="Cambria Math"/>
                      <w:i/>
                      <w:lang w:val="en-GB" w:eastAsia="ja-JP"/>
                    </w:rPr>
                  </m:ctrlPr>
                </m:e>
                <m:sub>
                  <m:r>
                    <w:rPr>
                      <w:rFonts w:ascii="Cambria Math" w:hAnsi="Cambria Math" w:cs="Arial"/>
                      <w:szCs w:val="20"/>
                      <w:lang w:val="en-GB" w:eastAsia="ja-JP"/>
                    </w:rPr>
                    <m:t>0</m:t>
                  </m:r>
                </m:sub>
              </m:sSub>
            </m:e>
          </m:d>
          <m:r>
            <w:rPr>
              <w:rFonts w:ascii="Cambria Math" w:hAnsi="Cambria Math"/>
              <w:lang w:val="en-GB" w:eastAsia="ja-JP"/>
            </w:rPr>
            <m:t xml:space="preserve"> </m:t>
          </m:r>
          <m:r>
            <m:rPr>
              <m:sty m:val="p"/>
            </m:rPr>
            <w:rPr>
              <w:rFonts w:ascii="Cambria Math" w:hAnsi="Cambria Math"/>
              <w:lang w:val="en-GB" w:eastAsia="ja-JP"/>
            </w:rPr>
            <m:t>mod</m:t>
          </m:r>
          <m:r>
            <w:rPr>
              <w:rFonts w:ascii="Cambria Math" w:hAnsi="Cambria Math"/>
              <w:lang w:val="en-GB" w:eastAsia="ja-JP"/>
            </w:rPr>
            <m:t xml:space="preserve"> X=0</m:t>
          </m:r>
          <m:r>
            <w:rPr>
              <w:rFonts w:ascii="Cambria Math" w:hAnsi="Cambria Math" w:cs="Arial"/>
              <w:szCs w:val="20"/>
              <w:lang w:val="en-GB" w:eastAsia="ja-JP"/>
            </w:rPr>
            <m:t>.</m:t>
          </m:r>
        </m:oMath>
      </m:oMathPara>
    </w:p>
    <w:p w14:paraId="4AF7E6C4" w14:textId="230F0BA4" w:rsidR="00D30B62" w:rsidRDefault="00D30B62" w:rsidP="00D30B62">
      <w:pPr>
        <w:rPr>
          <w:lang w:val="en-GB" w:eastAsia="ja-JP"/>
        </w:rPr>
      </w:pPr>
      <w:r>
        <w:rPr>
          <w:lang w:val="en-GB" w:eastAsia="ja-JP"/>
        </w:rPr>
        <w:t>To simpl</w:t>
      </w:r>
      <w:r w:rsidR="005E73BE">
        <w:rPr>
          <w:lang w:val="en-GB" w:eastAsia="ja-JP"/>
        </w:rPr>
        <w:t>if</w:t>
      </w:r>
      <w:r>
        <w:rPr>
          <w:lang w:val="en-GB" w:eastAsia="ja-JP"/>
        </w:rPr>
        <w:t xml:space="preserve">y the computation, one could define </w:t>
      </w:r>
      <w:r w:rsidR="00381FF0">
        <w:rPr>
          <w:lang w:val="en-GB" w:eastAsia="ja-JP"/>
        </w:rPr>
        <w:t>a slot group grid offset</w:t>
      </w:r>
    </w:p>
    <w:p w14:paraId="235CBE34" w14:textId="77777777" w:rsidR="00D30B62" w:rsidRPr="00277A6D" w:rsidRDefault="00415413" w:rsidP="00D30B62">
      <w:pPr>
        <w:rPr>
          <w:rFonts w:eastAsiaTheme="minorEastAsia"/>
          <w:lang w:val="en-GB" w:eastAsia="ja-JP"/>
        </w:rPr>
      </w:pPr>
      <m:oMathPara>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0,X</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m:t>
              </m:r>
            </m:sub>
          </m:sSub>
          <m:r>
            <w:rPr>
              <w:rFonts w:ascii="Cambria Math" w:hAnsi="Cambria Math"/>
              <w:lang w:val="en-GB" w:eastAsia="ja-JP"/>
            </w:rPr>
            <m:t xml:space="preserve"> </m:t>
          </m:r>
          <m:r>
            <m:rPr>
              <m:sty m:val="p"/>
            </m:rPr>
            <w:rPr>
              <w:rFonts w:ascii="Cambria Math" w:hAnsi="Cambria Math"/>
              <w:lang w:val="en-GB" w:eastAsia="ja-JP"/>
            </w:rPr>
            <m:t>mod</m:t>
          </m:r>
          <m:r>
            <w:rPr>
              <w:rFonts w:ascii="Cambria Math" w:hAnsi="Cambria Math"/>
              <w:lang w:val="en-GB" w:eastAsia="ja-JP"/>
            </w:rPr>
            <m:t xml:space="preserve"> X.</m:t>
          </m:r>
        </m:oMath>
      </m:oMathPara>
    </w:p>
    <w:p w14:paraId="146B7CC5" w14:textId="7CAA669F" w:rsidR="004D49C2" w:rsidRDefault="004D49C2" w:rsidP="004D49C2">
      <w:pPr>
        <w:rPr>
          <w:lang w:val="en-GB" w:eastAsia="ja-JP"/>
        </w:rPr>
      </w:pPr>
      <w:r>
        <w:rPr>
          <w:lang w:val="en-GB" w:eastAsia="ja-JP"/>
        </w:rPr>
        <w:t xml:space="preserve">Then, a </w:t>
      </w:r>
      <w:r w:rsidRPr="00A9596C">
        <w:rPr>
          <w:rFonts w:cs="Arial"/>
          <w:szCs w:val="20"/>
          <w:lang w:val="en-GB" w:eastAsia="ja-JP"/>
        </w:rPr>
        <w:t xml:space="preserve">slot </w:t>
      </w:r>
      <w:r w:rsidR="00584C0C">
        <w:rPr>
          <w:rFonts w:cs="Arial"/>
          <w:szCs w:val="20"/>
          <w:lang w:val="en-GB" w:eastAsia="ja-JP"/>
        </w:rPr>
        <w:t>with index</w:t>
      </w:r>
      <w:r w:rsidRPr="00A9596C">
        <w:rPr>
          <w:rFonts w:cs="Arial"/>
          <w:szCs w:val="20"/>
          <w:lang w:val="en-GB" w:eastAsia="ja-JP"/>
        </w:rPr>
        <w:t xml:space="preserve">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n</m:t>
            </m:r>
          </m:e>
          <m:sub>
            <m:r>
              <w:rPr>
                <w:rFonts w:ascii="Cambria Math" w:hAnsi="Cambria Math" w:cs="Arial"/>
                <w:szCs w:val="20"/>
                <w:lang w:val="en-GB" w:eastAsia="ja-JP"/>
              </w:rPr>
              <m:t>s</m:t>
            </m:r>
            <m:r>
              <m:rPr>
                <m:sty m:val="p"/>
              </m:rPr>
              <w:rPr>
                <w:rFonts w:ascii="Cambria Math" w:hAnsi="Cambria Math" w:cs="Arial"/>
                <w:szCs w:val="20"/>
                <w:lang w:val="en-GB" w:eastAsia="ja-JP"/>
              </w:rPr>
              <m:t>,</m:t>
            </m:r>
            <m:r>
              <w:rPr>
                <w:rFonts w:ascii="Cambria Math" w:hAnsi="Cambria Math" w:cs="Arial"/>
                <w:szCs w:val="20"/>
                <w:lang w:val="en-GB" w:eastAsia="ja-JP"/>
              </w:rPr>
              <m:t>f</m:t>
            </m:r>
          </m:sub>
          <m:sup>
            <m:r>
              <w:rPr>
                <w:rFonts w:ascii="Cambria Math" w:hAnsi="Cambria Math" w:cs="Arial"/>
                <w:szCs w:val="20"/>
                <w:lang w:val="en-GB" w:eastAsia="ja-JP"/>
              </w:rPr>
              <m:t>μ</m:t>
            </m:r>
          </m:sup>
        </m:sSubSup>
      </m:oMath>
      <w:r w:rsidRPr="00A9596C">
        <w:rPr>
          <w:rFonts w:cs="Arial"/>
          <w:szCs w:val="20"/>
          <w:lang w:val="en-GB" w:eastAsia="ja-JP"/>
        </w:rPr>
        <w:t xml:space="preserve"> in a frame with </w:t>
      </w:r>
      <w:r w:rsidR="00584C0C">
        <w:rPr>
          <w:rFonts w:cs="Arial"/>
          <w:szCs w:val="20"/>
          <w:lang w:val="en-GB" w:eastAsia="ja-JP"/>
        </w:rPr>
        <w:t>index</w:t>
      </w:r>
      <w:r w:rsidR="00584C0C" w:rsidRPr="00A9596C">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n</m:t>
            </m:r>
          </m:e>
          <m:sub>
            <m:r>
              <w:rPr>
                <w:rFonts w:ascii="Cambria Math" w:hAnsi="Cambria Math" w:cs="Arial"/>
                <w:szCs w:val="20"/>
                <w:lang w:val="en-GB" w:eastAsia="ja-JP"/>
              </w:rPr>
              <m:t>f</m:t>
            </m:r>
          </m:sub>
        </m:sSub>
      </m:oMath>
      <w:r w:rsidRPr="00A9596C">
        <w:rPr>
          <w:rFonts w:cs="Arial"/>
          <w:szCs w:val="20"/>
          <w:lang w:val="en-GB" w:eastAsia="ja-JP"/>
        </w:rPr>
        <w:t xml:space="preserve"> </w:t>
      </w:r>
      <w:r>
        <w:rPr>
          <w:rFonts w:cs="Arial"/>
          <w:szCs w:val="20"/>
          <w:lang w:val="en-GB" w:eastAsia="ja-JP"/>
        </w:rPr>
        <w:t>is the first slot of a X-slot group if</w:t>
      </w:r>
    </w:p>
    <w:p w14:paraId="7A9E40EB" w14:textId="1E37E6EF" w:rsidR="004D49C2" w:rsidRPr="00844C0B" w:rsidRDefault="00415413" w:rsidP="004D49C2">
      <w:pPr>
        <w:rPr>
          <w:i/>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f</m:t>
                  </m:r>
                </m:sub>
              </m:sSub>
              <m:r>
                <w:rPr>
                  <w:rFonts w:ascii="Cambria Math" w:hAnsi="Cambria Math"/>
                  <w:lang w:val="en-GB" w:eastAsia="ja-JP"/>
                </w:rPr>
                <m:t>⋅</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frame, μ</m:t>
                  </m:r>
                </m:sup>
              </m:sSubSup>
              <m:r>
                <w:rPr>
                  <w:rFonts w:ascii="Cambria Math" w:hAnsi="Cambria Math"/>
                  <w:lang w:val="en-GB" w:eastAsia="ja-JP"/>
                </w:rPr>
                <m:t xml:space="preserve">+ </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s,f </m:t>
                  </m:r>
                </m:sub>
                <m:sup>
                  <m:r>
                    <w:rPr>
                      <w:rFonts w:ascii="Cambria Math" w:hAnsi="Cambria Math"/>
                      <w:lang w:val="en-GB" w:eastAsia="ja-JP"/>
                    </w:rPr>
                    <m:t>μ</m:t>
                  </m:r>
                </m:sup>
              </m:sSub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0,X</m:t>
                  </m:r>
                </m:sub>
              </m:sSub>
            </m:e>
          </m:d>
          <m:r>
            <w:rPr>
              <w:rFonts w:ascii="Cambria Math" w:hAnsi="Cambria Math"/>
              <w:lang w:val="en-GB" w:eastAsia="ja-JP"/>
            </w:rPr>
            <m:t xml:space="preserve"> </m:t>
          </m:r>
          <m:r>
            <m:rPr>
              <m:sty m:val="p"/>
            </m:rPr>
            <w:rPr>
              <w:rFonts w:ascii="Cambria Math" w:hAnsi="Cambria Math"/>
              <w:lang w:val="en-GB" w:eastAsia="ja-JP"/>
            </w:rPr>
            <m:t>mod</m:t>
          </m:r>
          <m:r>
            <w:rPr>
              <w:rFonts w:ascii="Cambria Math" w:hAnsi="Cambria Math"/>
              <w:lang w:val="en-GB" w:eastAsia="ja-JP"/>
            </w:rPr>
            <m:t xml:space="preserve"> X=0</m:t>
          </m:r>
          <m:r>
            <w:rPr>
              <w:rFonts w:ascii="Cambria Math" w:hAnsi="Cambria Math" w:cs="Arial"/>
              <w:szCs w:val="20"/>
              <w:lang w:val="en-GB" w:eastAsia="ja-JP"/>
            </w:rPr>
            <m:t>.</m:t>
          </m:r>
        </m:oMath>
      </m:oMathPara>
    </w:p>
    <w:p w14:paraId="0FF5F93A" w14:textId="25181CB4" w:rsidR="00C42E10" w:rsidRDefault="000B7A78" w:rsidP="00206866">
      <w:pPr>
        <w:rPr>
          <w:lang w:val="en-GB" w:eastAsia="ja-JP"/>
        </w:rPr>
      </w:pPr>
      <w:r w:rsidRPr="00DA6849">
        <w:rPr>
          <w:lang w:val="en-GB" w:eastAsia="ja-JP"/>
        </w:rPr>
        <w:t xml:space="preserve">The monitoring slot(s) are always at the </w:t>
      </w:r>
      <w:bookmarkStart w:id="12" w:name="_Hlk86764140"/>
      <w:r w:rsidRPr="00DA6849">
        <w:rPr>
          <w:lang w:val="en-GB" w:eastAsia="ja-JP"/>
        </w:rPr>
        <w:t>beginning of a slot group</w:t>
      </w:r>
      <w:bookmarkEnd w:id="12"/>
      <w:r w:rsidRPr="00DA6849">
        <w:rPr>
          <w:lang w:val="en-GB" w:eastAsia="ja-JP"/>
        </w:rPr>
        <w:t>.</w:t>
      </w:r>
      <w:r w:rsidR="00A675F7">
        <w:rPr>
          <w:lang w:val="en-GB" w:eastAsia="ja-JP"/>
        </w:rPr>
        <w:t xml:space="preserve"> </w:t>
      </w:r>
      <w:r w:rsidR="009C2328">
        <w:rPr>
          <w:lang w:val="en-GB" w:eastAsia="ja-JP"/>
        </w:rPr>
        <w:t>T</w:t>
      </w:r>
      <w:r w:rsidR="00A675F7">
        <w:rPr>
          <w:lang w:val="en-GB" w:eastAsia="ja-JP"/>
        </w:rPr>
        <w:t>here is no need to define</w:t>
      </w:r>
      <w:r w:rsidR="009C2328">
        <w:rPr>
          <w:lang w:val="en-GB" w:eastAsia="ja-JP"/>
        </w:rPr>
        <w:t xml:space="preserve"> floating</w:t>
      </w:r>
      <w:r w:rsidR="00F768E9">
        <w:rPr>
          <w:lang w:val="en-GB" w:eastAsia="ja-JP"/>
        </w:rPr>
        <w:t xml:space="preserve"> offset</w:t>
      </w:r>
      <w:r w:rsidR="00956FAB">
        <w:rPr>
          <w:lang w:val="en-GB" w:eastAsia="ja-JP"/>
        </w:rPr>
        <w:t>s</w:t>
      </w:r>
      <w:r w:rsidR="00F768E9">
        <w:rPr>
          <w:lang w:val="en-GB" w:eastAsia="ja-JP"/>
        </w:rPr>
        <w:t xml:space="preserve"> for the starting </w:t>
      </w:r>
      <w:r w:rsidR="00BD195B">
        <w:rPr>
          <w:lang w:val="en-GB" w:eastAsia="ja-JP"/>
        </w:rPr>
        <w:t xml:space="preserve">monitoring slot within a </w:t>
      </w:r>
      <w:r w:rsidR="00CD5DE9">
        <w:rPr>
          <w:lang w:val="en-GB" w:eastAsia="ja-JP"/>
        </w:rPr>
        <w:t>X-slot group</w:t>
      </w:r>
      <w:r w:rsidR="009C2328">
        <w:rPr>
          <w:lang w:val="en-GB" w:eastAsia="ja-JP"/>
        </w:rPr>
        <w:t xml:space="preserve"> </w:t>
      </w:r>
      <w:r w:rsidR="00101BE1">
        <w:rPr>
          <w:lang w:val="en-GB" w:eastAsia="ja-JP"/>
        </w:rPr>
        <w:t xml:space="preserve">for search spaces </w:t>
      </w:r>
      <w:r w:rsidR="009C2328">
        <w:rPr>
          <w:lang w:val="en-GB" w:eastAsia="ja-JP"/>
        </w:rPr>
        <w:t xml:space="preserve">as in </w:t>
      </w:r>
      <w:r w:rsidR="00584C0C">
        <w:rPr>
          <w:lang w:val="en-GB" w:eastAsia="ja-JP"/>
        </w:rPr>
        <w:fldChar w:fldCharType="begin"/>
      </w:r>
      <w:r w:rsidR="00584C0C">
        <w:rPr>
          <w:lang w:val="en-GB" w:eastAsia="ja-JP"/>
        </w:rPr>
        <w:instrText xml:space="preserve"> REF _Ref86764313 \h </w:instrText>
      </w:r>
      <w:r w:rsidR="00584C0C">
        <w:rPr>
          <w:lang w:val="en-GB" w:eastAsia="ja-JP"/>
        </w:rPr>
      </w:r>
      <w:r w:rsidR="00584C0C">
        <w:rPr>
          <w:lang w:val="en-GB" w:eastAsia="ja-JP"/>
        </w:rPr>
        <w:fldChar w:fldCharType="separate"/>
      </w:r>
      <w:r w:rsidR="00357B6D" w:rsidRPr="009B6F32">
        <w:t xml:space="preserve">Figure </w:t>
      </w:r>
      <w:r w:rsidR="00357B6D">
        <w:rPr>
          <w:noProof/>
        </w:rPr>
        <w:t>1</w:t>
      </w:r>
      <w:r w:rsidR="00584C0C">
        <w:rPr>
          <w:lang w:val="en-GB" w:eastAsia="ja-JP"/>
        </w:rPr>
        <w:fldChar w:fldCharType="end"/>
      </w:r>
      <w:r w:rsidR="00CD5DE9">
        <w:rPr>
          <w:lang w:val="en-GB" w:eastAsia="ja-JP"/>
        </w:rPr>
        <w:t xml:space="preserve">. </w:t>
      </w:r>
      <w:r w:rsidR="00CB48F5" w:rsidRPr="00DA6849">
        <w:rPr>
          <w:lang w:val="en-GB" w:eastAsia="ja-JP"/>
        </w:rPr>
        <w:t xml:space="preserve">It is also evident that </w:t>
      </w:r>
      <w:r w:rsidR="00CB48F5" w:rsidRPr="00DA6849">
        <w:rPr>
          <w:rFonts w:eastAsia="Calibri" w:cs="Arial"/>
          <w:szCs w:val="20"/>
          <w:lang w:val="en-GB" w:eastAsia="ja-JP"/>
        </w:rPr>
        <w:t>back-to-back PDCCH processing overloading can be avoided</w:t>
      </w:r>
      <w:r w:rsidR="00AC01B6">
        <w:rPr>
          <w:rFonts w:eastAsia="Calibri" w:cs="Arial"/>
          <w:szCs w:val="20"/>
          <w:lang w:val="en-GB" w:eastAsia="ja-JP"/>
        </w:rPr>
        <w:t xml:space="preserve"> since each the beginnings of consecutive </w:t>
      </w:r>
      <w:r w:rsidR="00643353">
        <w:rPr>
          <w:rFonts w:eastAsia="Calibri" w:cs="Arial"/>
          <w:szCs w:val="20"/>
          <w:lang w:val="en-GB" w:eastAsia="ja-JP"/>
        </w:rPr>
        <w:t>PDCCH monitoring clusters are always separated by X slots.</w:t>
      </w:r>
    </w:p>
    <w:p w14:paraId="55A0A1DC" w14:textId="7560658F" w:rsidR="00411417" w:rsidRDefault="00F44F02" w:rsidP="00206866">
      <w:pPr>
        <w:rPr>
          <w:rFonts w:eastAsiaTheme="minorEastAsia"/>
          <w:lang w:val="en-GB" w:eastAsia="ja-JP"/>
        </w:rPr>
      </w:pPr>
      <w:r>
        <w:rPr>
          <w:rFonts w:eastAsiaTheme="minorEastAsia"/>
        </w:rPr>
        <w:t>T</w:t>
      </w:r>
      <w:r w:rsidR="00411417">
        <w:rPr>
          <w:rFonts w:eastAsiaTheme="minorEastAsia"/>
        </w:rPr>
        <w:t xml:space="preserve">he example shown in </w:t>
      </w:r>
      <w:r w:rsidR="00411417">
        <w:rPr>
          <w:rFonts w:eastAsiaTheme="minorEastAsia"/>
        </w:rPr>
        <w:fldChar w:fldCharType="begin"/>
      </w:r>
      <w:r w:rsidR="00411417">
        <w:rPr>
          <w:rFonts w:eastAsiaTheme="minorEastAsia"/>
        </w:rPr>
        <w:instrText xml:space="preserve"> REF _Ref86764459 \h </w:instrText>
      </w:r>
      <w:r w:rsidR="00411417">
        <w:rPr>
          <w:rFonts w:eastAsiaTheme="minorEastAsia"/>
        </w:rPr>
      </w:r>
      <w:r w:rsidR="00411417">
        <w:rPr>
          <w:rFonts w:eastAsiaTheme="minorEastAsia"/>
        </w:rPr>
        <w:fldChar w:fldCharType="separate"/>
      </w:r>
      <w:r w:rsidR="00357B6D" w:rsidRPr="009B6F32">
        <w:t xml:space="preserve">Figure </w:t>
      </w:r>
      <w:r w:rsidR="00357B6D">
        <w:rPr>
          <w:noProof/>
        </w:rPr>
        <w:t>2</w:t>
      </w:r>
      <w:r w:rsidR="00411417">
        <w:rPr>
          <w:rFonts w:eastAsiaTheme="minorEastAsia"/>
        </w:rPr>
        <w:fldChar w:fldCharType="end"/>
      </w:r>
      <w:r w:rsidR="00411417">
        <w:rPr>
          <w:rFonts w:eastAsiaTheme="minorEastAsia"/>
        </w:rPr>
        <w:t xml:space="preserve"> </w:t>
      </w:r>
      <w:r w:rsidR="0038314F">
        <w:rPr>
          <w:rFonts w:eastAsiaTheme="minorEastAsia"/>
        </w:rPr>
        <w:t xml:space="preserve">is </w:t>
      </w:r>
      <w:r w:rsidR="00411417">
        <w:rPr>
          <w:rFonts w:eastAsiaTheme="minorEastAsia"/>
        </w:rPr>
        <w:t xml:space="preserve">for </w:t>
      </w:r>
      <w:r w:rsidR="00411417">
        <w:t xml:space="preserve">defining X-slot group boundaries based on </w:t>
      </w:r>
      <w:r w:rsidR="00411417" w:rsidRPr="004D00D5">
        <w:rPr>
          <w:bCs/>
          <w:lang w:val="en-GB"/>
        </w:rPr>
        <w:t xml:space="preserve">the first monitoring slot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=22</m:t>
        </m:r>
      </m:oMath>
      <w:r w:rsidR="00411417" w:rsidRPr="004D00D5">
        <w:rPr>
          <w:bCs/>
          <w:lang w:val="en-GB"/>
        </w:rPr>
        <w:t xml:space="preserve"> for the type0 PDCCH</w:t>
      </w:r>
      <w:r w:rsidR="0038314F">
        <w:rPr>
          <w:bCs/>
          <w:lang w:val="en-GB"/>
        </w:rPr>
        <w:t xml:space="preserve">. It can be seen the boundaries of </w:t>
      </w:r>
      <w:r w:rsidR="0038314F">
        <w:t>X-slot group</w:t>
      </w:r>
      <w:r w:rsidR="005D182C">
        <w:t xml:space="preserve">s are aligned with the </w:t>
      </w:r>
      <w:r w:rsidR="005D182C">
        <w:rPr>
          <w:rFonts w:eastAsiaTheme="minorEastAsia"/>
        </w:rPr>
        <w:t>first monitoring slot for type0 PDCCH</w:t>
      </w:r>
      <w:r w:rsidR="00C647FC">
        <w:rPr>
          <w:rFonts w:eastAsiaTheme="minorEastAsia"/>
        </w:rPr>
        <w:t xml:space="preserve"> via </w:t>
      </w:r>
      <w:r w:rsidR="00C332A1">
        <w:rPr>
          <w:rFonts w:eastAsiaTheme="minorEastAsia"/>
        </w:rPr>
        <w:t xml:space="preserve">a grid offset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0,X</m:t>
            </m:r>
          </m:sub>
        </m:sSub>
        <m:r>
          <w:rPr>
            <w:rFonts w:ascii="Cambria Math" w:eastAsiaTheme="minorEastAsia" w:hAnsi="Cambria Math"/>
          </w:rPr>
          <m:t xml:space="preserve">=22 </m:t>
        </m:r>
        <m:r>
          <m:rPr>
            <m:sty m:val="p"/>
          </m:rPr>
          <w:rPr>
            <w:rFonts w:ascii="Cambria Math" w:eastAsiaTheme="minorEastAsia" w:hAnsi="Cambria Math"/>
          </w:rPr>
          <m:t>mod</m:t>
        </m:r>
        <m:r>
          <w:rPr>
            <w:rFonts w:ascii="Cambria Math" w:eastAsiaTheme="minorEastAsia" w:hAnsi="Cambria Math"/>
          </w:rPr>
          <m:t xml:space="preserve"> 4=2</m:t>
        </m:r>
      </m:oMath>
      <w:r w:rsidR="005D182C">
        <w:rPr>
          <w:rFonts w:eastAsiaTheme="minorEastAsia"/>
        </w:rPr>
        <w:t xml:space="preserve">. Consequently, </w:t>
      </w:r>
      <w:r w:rsidR="00714C79">
        <w:rPr>
          <w:rFonts w:eastAsiaTheme="minorEastAsia"/>
        </w:rPr>
        <w:t xml:space="preserve">the monitoring slots of both Group (1) and Group (2) search spaces are always at the beginning </w:t>
      </w:r>
      <w:r w:rsidR="009F078B">
        <w:rPr>
          <w:rFonts w:eastAsiaTheme="minorEastAsia"/>
        </w:rPr>
        <w:t xml:space="preserve">of the X-slot groups. It is unnecessary to define </w:t>
      </w:r>
      <w:r w:rsidR="00945ADE">
        <w:rPr>
          <w:rFonts w:eastAsiaTheme="minorEastAsia"/>
        </w:rPr>
        <w:t xml:space="preserve">a </w:t>
      </w:r>
      <w:r w:rsidR="009F078B">
        <w:rPr>
          <w:rFonts w:eastAsiaTheme="minorEastAsia"/>
        </w:rPr>
        <w:t xml:space="preserve">monitoring slot offset within </w:t>
      </w:r>
      <w:r w:rsidR="001E579B">
        <w:rPr>
          <w:rFonts w:eastAsiaTheme="minorEastAsia"/>
        </w:rPr>
        <w:t>the</w:t>
      </w:r>
      <w:r w:rsidR="009F078B">
        <w:rPr>
          <w:rFonts w:eastAsiaTheme="minorEastAsia"/>
        </w:rPr>
        <w:t xml:space="preserve"> slot group</w:t>
      </w:r>
      <w:r w:rsidR="00B75A25">
        <w:rPr>
          <w:rFonts w:eastAsiaTheme="minorEastAsia"/>
        </w:rPr>
        <w:t xml:space="preserve"> </w:t>
      </w:r>
      <w:r w:rsidR="008334F0">
        <w:rPr>
          <w:rFonts w:eastAsiaTheme="minorEastAsia"/>
        </w:rPr>
        <w:t xml:space="preserve">for Group (1) search spaces </w:t>
      </w:r>
      <w:r w:rsidR="00B75A25">
        <w:rPr>
          <w:rFonts w:eastAsiaTheme="minorEastAsia"/>
        </w:rPr>
        <w:t>if Y</w:t>
      </w:r>
      <w:r w:rsidR="00B75A25" w:rsidRPr="00B75A25">
        <w:rPr>
          <w:rFonts w:eastAsiaTheme="minorEastAsia"/>
          <w:vertAlign w:val="subscript"/>
        </w:rPr>
        <w:t>group1</w:t>
      </w:r>
      <w:r w:rsidR="00B75A25">
        <w:rPr>
          <w:rFonts w:eastAsiaTheme="minorEastAsia"/>
        </w:rPr>
        <w:t>=1</w:t>
      </w:r>
      <w:r w:rsidR="009F078B">
        <w:rPr>
          <w:rFonts w:eastAsiaTheme="minorEastAsia"/>
        </w:rPr>
        <w:t>.</w:t>
      </w:r>
    </w:p>
    <w:p w14:paraId="0DEA1B00" w14:textId="7C27B869" w:rsidR="006F0598" w:rsidRDefault="003B4E08" w:rsidP="00206866">
      <w:pPr>
        <w:rPr>
          <w:lang w:val="en-GB" w:eastAsia="ja-JP"/>
        </w:rPr>
      </w:pPr>
      <w:r w:rsidRPr="003B4E08">
        <w:rPr>
          <w:noProof/>
        </w:rPr>
        <w:drawing>
          <wp:inline distT="0" distB="0" distL="0" distR="0" wp14:anchorId="0F1D5FE8" wp14:editId="5C1CE319">
            <wp:extent cx="6120765" cy="12115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211580"/>
                    </a:xfrm>
                    <a:prstGeom prst="rect">
                      <a:avLst/>
                    </a:prstGeom>
                    <a:noFill/>
                    <a:ln>
                      <a:noFill/>
                    </a:ln>
                  </pic:spPr>
                </pic:pic>
              </a:graphicData>
            </a:graphic>
          </wp:inline>
        </w:drawing>
      </w:r>
    </w:p>
    <w:p w14:paraId="6107750C" w14:textId="73A8CA0E" w:rsidR="00505E88" w:rsidRDefault="00505E88" w:rsidP="004D00D5">
      <w:pPr>
        <w:pStyle w:val="TF"/>
        <w:jc w:val="both"/>
        <w:rPr>
          <w:lang w:val="en-US"/>
        </w:rPr>
      </w:pPr>
      <w:bookmarkStart w:id="13" w:name="_Ref86764459"/>
      <w:r w:rsidRPr="009B6F32">
        <w:rPr>
          <w:lang w:val="en-US"/>
        </w:rPr>
        <w:lastRenderedPageBreak/>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357B6D">
        <w:rPr>
          <w:noProof/>
          <w:lang w:val="en-US"/>
        </w:rPr>
        <w:t>2</w:t>
      </w:r>
      <w:r w:rsidRPr="009B6F32">
        <w:rPr>
          <w:lang w:val="en-US"/>
        </w:rPr>
        <w:fldChar w:fldCharType="end"/>
      </w:r>
      <w:bookmarkEnd w:id="13"/>
      <w:r w:rsidRPr="009B6F32">
        <w:rPr>
          <w:lang w:val="en-US"/>
        </w:rPr>
        <w:t xml:space="preserve">: </w:t>
      </w:r>
      <w:r w:rsidR="000E521E">
        <w:rPr>
          <w:lang w:val="en-US"/>
        </w:rPr>
        <w:t xml:space="preserve">Example of </w:t>
      </w:r>
      <w:r w:rsidR="00AB2CC5">
        <w:rPr>
          <w:lang w:val="en-US"/>
        </w:rPr>
        <w:t>defin</w:t>
      </w:r>
      <w:r w:rsidR="004D00D5">
        <w:rPr>
          <w:lang w:val="en-US"/>
        </w:rPr>
        <w:t xml:space="preserve">ing </w:t>
      </w:r>
      <w:r w:rsidR="000E521E">
        <w:rPr>
          <w:lang w:val="en-US"/>
        </w:rPr>
        <w:t>X-slot group boundar</w:t>
      </w:r>
      <w:r w:rsidR="004D00D5">
        <w:rPr>
          <w:lang w:val="en-US"/>
        </w:rPr>
        <w:t xml:space="preserve">ies based on </w:t>
      </w:r>
      <w:r w:rsidR="004D00D5" w:rsidRPr="004D00D5">
        <w:rPr>
          <w:bCs/>
          <w:lang w:val="en-GB"/>
        </w:rPr>
        <w:t xml:space="preserve">the first monitoring slot </w:t>
      </w:r>
      <m:oMath>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0</m:t>
            </m:r>
          </m:sub>
        </m:sSub>
      </m:oMath>
      <w:r w:rsidR="004D00D5" w:rsidRPr="004D00D5">
        <w:rPr>
          <w:bCs/>
          <w:lang w:val="en-GB"/>
        </w:rPr>
        <w:t xml:space="preserve"> for the type0 PDCCH</w:t>
      </w:r>
      <w:r>
        <w:rPr>
          <w:lang w:val="en-US"/>
        </w:rPr>
        <w:t>.</w:t>
      </w:r>
      <w:r w:rsidR="004D00D5">
        <w:rPr>
          <w:lang w:val="en-US"/>
        </w:rPr>
        <w:t xml:space="preserve"> </w:t>
      </w:r>
      <w:r w:rsidR="00C71D6B">
        <w:rPr>
          <w:lang w:val="en-US"/>
        </w:rPr>
        <w:t>Monitoring</w:t>
      </w:r>
      <w:r w:rsidR="00C71D6B">
        <w:rPr>
          <w:bCs/>
          <w:lang w:val="en-GB"/>
        </w:rPr>
        <w:t xml:space="preserve"> occasions of all search spaces always start at the </w:t>
      </w:r>
      <w:r w:rsidR="00C71D6B" w:rsidRPr="00C71D6B">
        <w:rPr>
          <w:bCs/>
          <w:lang w:val="en-GB"/>
        </w:rPr>
        <w:t>beginning of a slot group</w:t>
      </w:r>
      <w:r w:rsidR="00C71D6B">
        <w:rPr>
          <w:bCs/>
          <w:lang w:val="en-GB"/>
        </w:rPr>
        <w:t>.</w:t>
      </w:r>
      <w:r w:rsidR="00714C79">
        <w:rPr>
          <w:bCs/>
          <w:lang w:val="en-GB"/>
        </w:rPr>
        <w:t xml:space="preserve"> This example is for X=4 and </w:t>
      </w:r>
      <w:r w:rsidR="00585F3D">
        <w:rPr>
          <w:bCs/>
          <w:lang w:val="en-GB"/>
        </w:rPr>
        <w:t>Y</w:t>
      </w:r>
      <w:r w:rsidR="00585F3D" w:rsidRPr="00585F3D">
        <w:rPr>
          <w:bCs/>
          <w:vertAlign w:val="subscript"/>
          <w:lang w:val="en-GB"/>
        </w:rPr>
        <w:t>group1</w:t>
      </w:r>
      <w:r w:rsidR="00585F3D">
        <w:rPr>
          <w:bCs/>
          <w:lang w:val="en-GB"/>
        </w:rPr>
        <w:t>=1</w:t>
      </w:r>
      <w:r w:rsidR="00714C79">
        <w:rPr>
          <w:bCs/>
          <w:lang w:val="en-GB"/>
        </w:rPr>
        <w:t>.</w:t>
      </w:r>
    </w:p>
    <w:p w14:paraId="3248F5B8" w14:textId="40F90915" w:rsidR="004A4A40" w:rsidRDefault="004A4A40" w:rsidP="004A4A40">
      <w:pPr>
        <w:rPr>
          <w:rFonts w:eastAsiaTheme="minorEastAsia"/>
          <w:lang w:val="en-GB" w:eastAsia="ja-JP"/>
        </w:rPr>
      </w:pPr>
      <w:r>
        <w:rPr>
          <w:lang w:val="en-GB" w:eastAsia="ja-JP"/>
        </w:rPr>
        <w:t xml:space="preserve">Since </w:t>
      </w:r>
      <m:oMath>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frame, μ</m:t>
            </m:r>
          </m:sup>
        </m:sSubSup>
        <m:r>
          <w:rPr>
            <w:rFonts w:ascii="Cambria Math" w:hAnsi="Cambria Math"/>
            <w:lang w:val="en-GB" w:eastAsia="ja-JP"/>
          </w:rPr>
          <m:t>=10⋅</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subframe, μ</m:t>
            </m:r>
          </m:sup>
        </m:sSubSup>
      </m:oMath>
      <w:r>
        <w:rPr>
          <w:rFonts w:eastAsiaTheme="minorEastAsia"/>
          <w:lang w:val="en-GB" w:eastAsia="ja-JP"/>
        </w:rPr>
        <w:t xml:space="preserve"> and </w:t>
      </w:r>
      <m:oMath>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subframe, μ</m:t>
            </m:r>
          </m:sup>
        </m:sSubSup>
        <m:r>
          <w:rPr>
            <w:rFonts w:ascii="Cambria Math" w:hAnsi="Cambria Math"/>
            <w:lang w:val="en-GB" w:eastAsia="ja-JP"/>
          </w:rPr>
          <m:t>=</m:t>
        </m:r>
        <m:sSup>
          <m:sSupPr>
            <m:ctrlPr>
              <w:rPr>
                <w:rFonts w:ascii="Cambria Math" w:hAnsi="Cambria Math"/>
                <w:i/>
                <w:lang w:val="en-GB" w:eastAsia="ja-JP"/>
              </w:rPr>
            </m:ctrlPr>
          </m:sSupPr>
          <m:e>
            <m:r>
              <w:rPr>
                <w:rFonts w:ascii="Cambria Math" w:hAnsi="Cambria Math"/>
                <w:lang w:val="en-GB" w:eastAsia="ja-JP"/>
              </w:rPr>
              <m:t>2</m:t>
            </m:r>
          </m:e>
          <m:sup>
            <m:r>
              <w:rPr>
                <w:rFonts w:ascii="Cambria Math" w:hAnsi="Cambria Math"/>
                <w:lang w:val="en-GB" w:eastAsia="ja-JP"/>
              </w:rPr>
              <m:t>μ</m:t>
            </m:r>
          </m:sup>
        </m:sSup>
      </m:oMath>
      <w:r>
        <w:rPr>
          <w:rFonts w:eastAsiaTheme="minorEastAsia"/>
          <w:lang w:val="en-GB" w:eastAsia="ja-JP"/>
        </w:rPr>
        <w:t xml:space="preserve">, </w:t>
      </w:r>
      <m:oMath>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subframe, μ</m:t>
            </m:r>
          </m:sup>
        </m:sSubSup>
      </m:oMath>
      <w:r>
        <w:rPr>
          <w:rFonts w:eastAsiaTheme="minorEastAsia"/>
          <w:lang w:val="en-GB" w:eastAsia="ja-JP"/>
        </w:rPr>
        <w:t xml:space="preserve"> is hence always divisible by X=4 for 480 kHz SCS and X=8 for 960 kHz SCS. The </w:t>
      </w:r>
      <w:r w:rsidR="00E379E4">
        <w:rPr>
          <w:rFonts w:eastAsiaTheme="minorEastAsia"/>
          <w:lang w:val="en-GB" w:eastAsia="ja-JP"/>
        </w:rPr>
        <w:t xml:space="preserve">first </w:t>
      </w:r>
      <w:r>
        <w:rPr>
          <w:rFonts w:eastAsiaTheme="minorEastAsia"/>
          <w:lang w:val="en-GB" w:eastAsia="ja-JP"/>
        </w:rPr>
        <w:t xml:space="preserve">X-slot group boundary in a subframe is at the </w:t>
      </w:r>
      <w:r w:rsidR="00E379E4">
        <w:rPr>
          <w:rFonts w:eastAsiaTheme="minorEastAsia"/>
          <w:lang w:val="en-GB" w:eastAsia="ja-JP"/>
        </w:rPr>
        <w:t>start</w:t>
      </w:r>
      <w:r>
        <w:rPr>
          <w:rFonts w:eastAsiaTheme="minorEastAsia"/>
          <w:lang w:val="en-GB" w:eastAsia="ja-JP"/>
        </w:rPr>
        <w:t xml:space="preserve"> of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0,X</m:t>
            </m:r>
          </m:sub>
        </m:sSub>
      </m:oMath>
      <w:r>
        <w:rPr>
          <w:rFonts w:eastAsiaTheme="minorEastAsia"/>
          <w:lang w:val="en-GB" w:eastAsia="ja-JP"/>
        </w:rPr>
        <w:t>-th slot of the subframe. That is, the X-slot groups can be as easily determined on the subframe level.</w:t>
      </w:r>
      <w:r w:rsidR="00E2248C">
        <w:rPr>
          <w:rFonts w:eastAsiaTheme="minorEastAsia"/>
          <w:lang w:val="en-GB" w:eastAsia="ja-JP"/>
        </w:rPr>
        <w:t xml:space="preserve"> The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f</m:t>
            </m:r>
          </m:sub>
        </m:sSub>
        <m:r>
          <w:rPr>
            <w:rFonts w:ascii="Cambria Math" w:hAnsi="Cambria Math"/>
            <w:lang w:val="en-GB" w:eastAsia="ja-JP"/>
          </w:rPr>
          <m:t>⋅</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frame, μ</m:t>
            </m:r>
          </m:sup>
        </m:sSubSup>
      </m:oMath>
      <w:r w:rsidR="00E2248C">
        <w:rPr>
          <w:rFonts w:eastAsiaTheme="minorEastAsia"/>
          <w:lang w:val="en-GB" w:eastAsia="ja-JP"/>
        </w:rPr>
        <w:t xml:space="preserve"> term </w:t>
      </w:r>
      <w:r w:rsidR="001E579B">
        <w:rPr>
          <w:rFonts w:eastAsiaTheme="minorEastAsia"/>
          <w:lang w:val="en-GB" w:eastAsia="ja-JP"/>
        </w:rPr>
        <w:t xml:space="preserve">in the above expressions </w:t>
      </w:r>
      <w:r w:rsidR="00E2248C">
        <w:rPr>
          <w:rFonts w:eastAsiaTheme="minorEastAsia"/>
          <w:lang w:val="en-GB" w:eastAsia="ja-JP"/>
        </w:rPr>
        <w:t xml:space="preserve">is kept </w:t>
      </w:r>
      <w:r w:rsidR="007D53E2">
        <w:rPr>
          <w:rFonts w:eastAsiaTheme="minorEastAsia"/>
          <w:lang w:val="en-GB" w:eastAsia="ja-JP"/>
        </w:rPr>
        <w:t xml:space="preserve">such that the expression </w:t>
      </w:r>
      <w:r w:rsidR="0032200E">
        <w:rPr>
          <w:rFonts w:eastAsiaTheme="minorEastAsia"/>
          <w:lang w:val="en-GB" w:eastAsia="ja-JP"/>
        </w:rPr>
        <w:t>can be clearly</w:t>
      </w:r>
      <w:r w:rsidR="00E4160A">
        <w:rPr>
          <w:rFonts w:eastAsiaTheme="minorEastAsia"/>
          <w:lang w:val="en-GB" w:eastAsia="ja-JP"/>
        </w:rPr>
        <w:t xml:space="preserve"> transitioned to </w:t>
      </w:r>
      <w:r w:rsidR="00D12147">
        <w:rPr>
          <w:rFonts w:eastAsiaTheme="minorEastAsia"/>
          <w:lang w:val="en-GB" w:eastAsia="ja-JP"/>
        </w:rPr>
        <w:t xml:space="preserve">the search space monitoring occasion calculation </w:t>
      </w:r>
      <w:r w:rsidR="005B3393">
        <w:rPr>
          <w:rFonts w:eastAsiaTheme="minorEastAsia"/>
          <w:lang w:val="en-GB" w:eastAsia="ja-JP"/>
        </w:rPr>
        <w:t xml:space="preserve">presented in the </w:t>
      </w:r>
      <w:r w:rsidR="00D12147">
        <w:rPr>
          <w:rFonts w:eastAsiaTheme="minorEastAsia"/>
          <w:lang w:val="en-GB" w:eastAsia="ja-JP"/>
        </w:rPr>
        <w:t>next section.</w:t>
      </w:r>
    </w:p>
    <w:p w14:paraId="2CDE4059" w14:textId="02FF5C12" w:rsidR="00043A28" w:rsidRDefault="00043A28" w:rsidP="004A4A40">
      <w:pPr>
        <w:rPr>
          <w:rFonts w:eastAsiaTheme="minorEastAsia"/>
          <w:lang w:val="en-GB" w:eastAsia="ja-JP"/>
        </w:rPr>
      </w:pPr>
      <w:r>
        <w:rPr>
          <w:rFonts w:eastAsiaTheme="minorEastAsia"/>
          <w:lang w:val="en-GB" w:eastAsia="ja-JP"/>
        </w:rPr>
        <w:t>In case of FR2-2 carrier aggregation</w:t>
      </w:r>
      <w:r w:rsidR="00A4745B">
        <w:rPr>
          <w:rFonts w:eastAsiaTheme="minorEastAsia"/>
          <w:lang w:val="en-GB" w:eastAsia="ja-JP"/>
        </w:rPr>
        <w:t xml:space="preserve"> where the </w:t>
      </w:r>
      <w:proofErr w:type="spellStart"/>
      <w:r w:rsidR="00A4745B">
        <w:rPr>
          <w:rFonts w:eastAsiaTheme="minorEastAsia"/>
          <w:lang w:val="en-GB" w:eastAsia="ja-JP"/>
        </w:rPr>
        <w:t>PCell</w:t>
      </w:r>
      <w:proofErr w:type="spellEnd"/>
      <w:r w:rsidR="00A4745B">
        <w:rPr>
          <w:rFonts w:eastAsiaTheme="minorEastAsia"/>
          <w:lang w:val="en-GB" w:eastAsia="ja-JP"/>
        </w:rPr>
        <w:t>/</w:t>
      </w:r>
      <w:proofErr w:type="spellStart"/>
      <w:r w:rsidR="00A4745B">
        <w:rPr>
          <w:rFonts w:eastAsiaTheme="minorEastAsia"/>
          <w:lang w:val="en-GB" w:eastAsia="ja-JP"/>
        </w:rPr>
        <w:t>PSCell</w:t>
      </w:r>
      <w:proofErr w:type="spellEnd"/>
      <w:r w:rsidR="00A4745B">
        <w:rPr>
          <w:rFonts w:eastAsiaTheme="minorEastAsia"/>
          <w:lang w:val="en-GB" w:eastAsia="ja-JP"/>
        </w:rPr>
        <w:t xml:space="preserve"> operates with multi-slot </w:t>
      </w:r>
      <w:r w:rsidR="008F1E86">
        <w:rPr>
          <w:rFonts w:eastAsiaTheme="minorEastAsia"/>
          <w:lang w:val="en-GB" w:eastAsia="ja-JP"/>
        </w:rPr>
        <w:t xml:space="preserve">PDCCH </w:t>
      </w:r>
      <w:r w:rsidR="00A4745B">
        <w:rPr>
          <w:rFonts w:eastAsiaTheme="minorEastAsia"/>
          <w:lang w:val="en-GB" w:eastAsia="ja-JP"/>
        </w:rPr>
        <w:t>monitoring</w:t>
      </w:r>
      <w:r w:rsidR="00486E3A">
        <w:rPr>
          <w:rFonts w:eastAsiaTheme="minorEastAsia"/>
          <w:lang w:val="en-GB" w:eastAsia="ja-JP"/>
        </w:rPr>
        <w:t xml:space="preserve">, it is desirable to align the monitoring occasions across the serving cells for UE energy efficiency </w:t>
      </w:r>
      <w:r w:rsidR="00486E3A">
        <w:rPr>
          <w:rFonts w:eastAsiaTheme="minorEastAsia"/>
          <w:lang w:val="en-GB" w:eastAsia="ja-JP"/>
        </w:rPr>
        <w:fldChar w:fldCharType="begin"/>
      </w:r>
      <w:r w:rsidR="00486E3A">
        <w:rPr>
          <w:rFonts w:eastAsiaTheme="minorEastAsia"/>
          <w:lang w:val="en-GB" w:eastAsia="ja-JP"/>
        </w:rPr>
        <w:instrText xml:space="preserve"> REF _Ref87003012 \r \h </w:instrText>
      </w:r>
      <w:r w:rsidR="00486E3A">
        <w:rPr>
          <w:rFonts w:eastAsiaTheme="minorEastAsia"/>
          <w:lang w:val="en-GB" w:eastAsia="ja-JP"/>
        </w:rPr>
      </w:r>
      <w:r w:rsidR="00486E3A">
        <w:rPr>
          <w:rFonts w:eastAsiaTheme="minorEastAsia"/>
          <w:lang w:val="en-GB" w:eastAsia="ja-JP"/>
        </w:rPr>
        <w:fldChar w:fldCharType="separate"/>
      </w:r>
      <w:r w:rsidR="00357B6D">
        <w:rPr>
          <w:rFonts w:eastAsiaTheme="minorEastAsia"/>
          <w:lang w:val="en-GB" w:eastAsia="ja-JP"/>
        </w:rPr>
        <w:t>[3]</w:t>
      </w:r>
      <w:r w:rsidR="00486E3A">
        <w:rPr>
          <w:rFonts w:eastAsiaTheme="minorEastAsia"/>
          <w:lang w:val="en-GB" w:eastAsia="ja-JP"/>
        </w:rPr>
        <w:fldChar w:fldCharType="end"/>
      </w:r>
      <w:r w:rsidR="00486E3A">
        <w:rPr>
          <w:rFonts w:eastAsiaTheme="minorEastAsia"/>
          <w:lang w:val="en-GB" w:eastAsia="ja-JP"/>
        </w:rPr>
        <w:t xml:space="preserve">. </w:t>
      </w:r>
      <w:r w:rsidR="00F50F54">
        <w:rPr>
          <w:rFonts w:eastAsiaTheme="minorEastAsia"/>
          <w:lang w:val="en-GB" w:eastAsia="ja-JP"/>
        </w:rPr>
        <w:t xml:space="preserve">The slot group grid </w:t>
      </w:r>
      <w:r w:rsidR="00D12121">
        <w:rPr>
          <w:rFonts w:eastAsiaTheme="minorEastAsia"/>
          <w:lang w:val="en-GB" w:eastAsia="ja-JP"/>
        </w:rPr>
        <w:t xml:space="preserve">of the </w:t>
      </w:r>
      <w:proofErr w:type="spellStart"/>
      <w:r w:rsidR="00D12121">
        <w:rPr>
          <w:rFonts w:eastAsiaTheme="minorEastAsia"/>
          <w:lang w:val="en-GB" w:eastAsia="ja-JP"/>
        </w:rPr>
        <w:t>SCell</w:t>
      </w:r>
      <w:proofErr w:type="spellEnd"/>
      <w:r w:rsidR="00D12121">
        <w:rPr>
          <w:rFonts w:eastAsiaTheme="minorEastAsia"/>
          <w:lang w:val="en-GB" w:eastAsia="ja-JP"/>
        </w:rPr>
        <w:t xml:space="preserve"> </w:t>
      </w:r>
      <w:r w:rsidR="00D738B7">
        <w:rPr>
          <w:rFonts w:eastAsiaTheme="minorEastAsia"/>
          <w:lang w:val="en-GB" w:eastAsia="ja-JP"/>
        </w:rPr>
        <w:t xml:space="preserve">should be aligned with that of the </w:t>
      </w:r>
      <w:proofErr w:type="spellStart"/>
      <w:r w:rsidR="00D738B7">
        <w:rPr>
          <w:rFonts w:eastAsiaTheme="minorEastAsia"/>
          <w:lang w:val="en-GB" w:eastAsia="ja-JP"/>
        </w:rPr>
        <w:t>PCell</w:t>
      </w:r>
      <w:proofErr w:type="spellEnd"/>
      <w:r w:rsidR="00D738B7">
        <w:rPr>
          <w:rFonts w:eastAsiaTheme="minorEastAsia"/>
          <w:lang w:val="en-GB" w:eastAsia="ja-JP"/>
        </w:rPr>
        <w:t>/</w:t>
      </w:r>
      <w:proofErr w:type="spellStart"/>
      <w:r w:rsidR="00D738B7">
        <w:rPr>
          <w:rFonts w:eastAsiaTheme="minorEastAsia"/>
          <w:lang w:val="en-GB" w:eastAsia="ja-JP"/>
        </w:rPr>
        <w:t>PSCell</w:t>
      </w:r>
      <w:proofErr w:type="spellEnd"/>
      <w:r w:rsidR="00D738B7">
        <w:rPr>
          <w:rFonts w:eastAsiaTheme="minorEastAsia"/>
          <w:lang w:val="en-GB" w:eastAsia="ja-JP"/>
        </w:rPr>
        <w:t xml:space="preserve"> as illustrated in </w:t>
      </w:r>
      <w:r w:rsidR="00DB0F5A">
        <w:rPr>
          <w:rFonts w:eastAsiaTheme="minorEastAsia"/>
          <w:lang w:val="en-GB" w:eastAsia="ja-JP"/>
        </w:rPr>
        <w:fldChar w:fldCharType="begin"/>
      </w:r>
      <w:r w:rsidR="00DB0F5A">
        <w:rPr>
          <w:rFonts w:eastAsiaTheme="minorEastAsia"/>
          <w:lang w:val="en-GB" w:eastAsia="ja-JP"/>
        </w:rPr>
        <w:instrText xml:space="preserve"> REF _Ref87003373 \h </w:instrText>
      </w:r>
      <w:r w:rsidR="00DB0F5A">
        <w:rPr>
          <w:rFonts w:eastAsiaTheme="minorEastAsia"/>
          <w:lang w:val="en-GB" w:eastAsia="ja-JP"/>
        </w:rPr>
      </w:r>
      <w:r w:rsidR="00DB0F5A">
        <w:rPr>
          <w:rFonts w:eastAsiaTheme="minorEastAsia"/>
          <w:lang w:val="en-GB" w:eastAsia="ja-JP"/>
        </w:rPr>
        <w:fldChar w:fldCharType="separate"/>
      </w:r>
      <w:r w:rsidR="00357B6D" w:rsidRPr="009B6F32">
        <w:t xml:space="preserve">Figure </w:t>
      </w:r>
      <w:r w:rsidR="00357B6D">
        <w:rPr>
          <w:noProof/>
        </w:rPr>
        <w:t>3</w:t>
      </w:r>
      <w:r w:rsidR="00DB0F5A">
        <w:rPr>
          <w:rFonts w:eastAsiaTheme="minorEastAsia"/>
          <w:lang w:val="en-GB" w:eastAsia="ja-JP"/>
        </w:rPr>
        <w:fldChar w:fldCharType="end"/>
      </w:r>
      <w:r w:rsidR="00D738B7">
        <w:rPr>
          <w:rFonts w:eastAsiaTheme="minorEastAsia"/>
          <w:lang w:val="en-GB" w:eastAsia="ja-JP"/>
        </w:rPr>
        <w:t>.</w:t>
      </w:r>
    </w:p>
    <w:p w14:paraId="27A1DE14" w14:textId="71781259" w:rsidR="00EE6403" w:rsidRDefault="00B81E09" w:rsidP="004A4A40">
      <w:pPr>
        <w:rPr>
          <w:rFonts w:eastAsiaTheme="minorEastAsia"/>
          <w:lang w:val="en-GB" w:eastAsia="ja-JP"/>
        </w:rPr>
      </w:pPr>
      <w:r>
        <w:rPr>
          <w:rFonts w:eastAsiaTheme="minorEastAsia"/>
          <w:lang w:val="en-GB" w:eastAsia="ja-JP"/>
        </w:rPr>
        <w:t xml:space="preserve">In cases where </w:t>
      </w:r>
      <w:r w:rsidR="00F9221F">
        <w:rPr>
          <w:rFonts w:eastAsiaTheme="minorEastAsia"/>
          <w:lang w:val="en-GB" w:eastAsia="ja-JP"/>
        </w:rPr>
        <w:t xml:space="preserve">the </w:t>
      </w:r>
      <w:proofErr w:type="spellStart"/>
      <w:r w:rsidR="00F9221F">
        <w:rPr>
          <w:rFonts w:eastAsiaTheme="minorEastAsia"/>
          <w:lang w:val="en-GB" w:eastAsia="ja-JP"/>
        </w:rPr>
        <w:t>PCell</w:t>
      </w:r>
      <w:proofErr w:type="spellEnd"/>
      <w:r w:rsidR="00F9221F">
        <w:rPr>
          <w:rFonts w:eastAsiaTheme="minorEastAsia"/>
          <w:lang w:val="en-GB" w:eastAsia="ja-JP"/>
        </w:rPr>
        <w:t>/</w:t>
      </w:r>
      <w:proofErr w:type="spellStart"/>
      <w:r w:rsidR="00F9221F">
        <w:rPr>
          <w:rFonts w:eastAsiaTheme="minorEastAsia"/>
          <w:lang w:val="en-GB" w:eastAsia="ja-JP"/>
        </w:rPr>
        <w:t>PSCell</w:t>
      </w:r>
      <w:proofErr w:type="spellEnd"/>
      <w:r w:rsidR="00F9221F">
        <w:rPr>
          <w:rFonts w:eastAsiaTheme="minorEastAsia"/>
          <w:lang w:val="en-GB" w:eastAsia="ja-JP"/>
        </w:rPr>
        <w:t xml:space="preserve"> does not operate with multi-slot </w:t>
      </w:r>
      <w:r w:rsidR="008F1E86">
        <w:rPr>
          <w:rFonts w:eastAsiaTheme="minorEastAsia"/>
          <w:lang w:val="en-GB" w:eastAsia="ja-JP"/>
        </w:rPr>
        <w:t xml:space="preserve">PDCCH </w:t>
      </w:r>
      <w:r w:rsidR="00F9221F">
        <w:rPr>
          <w:rFonts w:eastAsiaTheme="minorEastAsia"/>
          <w:lang w:val="en-GB" w:eastAsia="ja-JP"/>
        </w:rPr>
        <w:t xml:space="preserve">monitoring (e.g., </w:t>
      </w:r>
      <w:r>
        <w:rPr>
          <w:rFonts w:eastAsiaTheme="minorEastAsia"/>
          <w:lang w:val="en-GB" w:eastAsia="ja-JP"/>
        </w:rPr>
        <w:t>FR1 + FR2-2 carrier aggregation</w:t>
      </w:r>
      <w:r w:rsidR="00F9221F">
        <w:rPr>
          <w:rFonts w:eastAsiaTheme="minorEastAsia"/>
          <w:lang w:val="en-GB" w:eastAsia="ja-JP"/>
        </w:rPr>
        <w:t xml:space="preserve">), </w:t>
      </w:r>
      <w:r w:rsidR="00F91746">
        <w:rPr>
          <w:rFonts w:eastAsiaTheme="minorEastAsia"/>
          <w:lang w:val="en-GB" w:eastAsia="ja-JP"/>
        </w:rPr>
        <w:t xml:space="preserve">the slot group grid of </w:t>
      </w:r>
      <w:r w:rsidR="009141F3">
        <w:rPr>
          <w:rFonts w:eastAsiaTheme="minorEastAsia"/>
          <w:lang w:val="en-GB" w:eastAsia="ja-JP"/>
        </w:rPr>
        <w:t>the</w:t>
      </w:r>
      <w:r w:rsidR="00F91746">
        <w:rPr>
          <w:rFonts w:eastAsiaTheme="minorEastAsia"/>
          <w:lang w:val="en-GB" w:eastAsia="ja-JP"/>
        </w:rPr>
        <w:t xml:space="preserve"> </w:t>
      </w:r>
      <w:proofErr w:type="spellStart"/>
      <w:r w:rsidR="00F91746">
        <w:rPr>
          <w:rFonts w:eastAsiaTheme="minorEastAsia"/>
          <w:lang w:val="en-GB" w:eastAsia="ja-JP"/>
        </w:rPr>
        <w:t>SCell</w:t>
      </w:r>
      <w:proofErr w:type="spellEnd"/>
      <w:r w:rsidR="00F91746">
        <w:rPr>
          <w:rFonts w:eastAsiaTheme="minorEastAsia"/>
          <w:lang w:val="en-GB" w:eastAsia="ja-JP"/>
        </w:rPr>
        <w:t xml:space="preserve"> can </w:t>
      </w:r>
      <w:r w:rsidR="0095675D">
        <w:rPr>
          <w:rFonts w:eastAsiaTheme="minorEastAsia"/>
          <w:lang w:val="en-GB" w:eastAsia="ja-JP"/>
        </w:rPr>
        <w:t xml:space="preserve">start from </w:t>
      </w:r>
      <w:r w:rsidR="00F91746">
        <w:rPr>
          <w:rFonts w:eastAsiaTheme="minorEastAsia"/>
          <w:lang w:val="en-GB" w:eastAsia="ja-JP"/>
        </w:rPr>
        <w:t>the frame/subframe boundar</w:t>
      </w:r>
      <w:r w:rsidR="0095675D">
        <w:rPr>
          <w:rFonts w:eastAsiaTheme="minorEastAsia"/>
          <w:lang w:val="en-GB" w:eastAsia="ja-JP"/>
        </w:rPr>
        <w:t xml:space="preserve">ies (i.e.,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m:t>
            </m:r>
          </m:sub>
        </m:sSub>
        <m:r>
          <w:rPr>
            <w:rFonts w:ascii="Cambria Math" w:eastAsiaTheme="minorEastAsia" w:hAnsi="Cambria Math"/>
            <w:lang w:val="en-GB" w:eastAsia="ja-JP"/>
          </w:rPr>
          <m:t>=0</m:t>
        </m:r>
      </m:oMath>
      <w:r w:rsidR="0095675D">
        <w:rPr>
          <w:rFonts w:eastAsiaTheme="minorEastAsia"/>
          <w:lang w:val="en-GB" w:eastAsia="ja-JP"/>
        </w:rPr>
        <w:t>).</w:t>
      </w:r>
    </w:p>
    <w:p w14:paraId="3B36E35D" w14:textId="7419AE7E" w:rsidR="00D738B7" w:rsidRDefault="00415413" w:rsidP="004A4A40">
      <w:pPr>
        <w:rPr>
          <w:rFonts w:eastAsiaTheme="minorEastAsia"/>
          <w:lang w:val="en-GB" w:eastAsia="ja-JP"/>
        </w:rPr>
      </w:pPr>
      <w:r w:rsidRPr="00415413">
        <w:drawing>
          <wp:inline distT="0" distB="0" distL="0" distR="0" wp14:anchorId="2FCB3B08" wp14:editId="1301A9C4">
            <wp:extent cx="6120765" cy="26263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26360"/>
                    </a:xfrm>
                    <a:prstGeom prst="rect">
                      <a:avLst/>
                    </a:prstGeom>
                    <a:noFill/>
                    <a:ln>
                      <a:noFill/>
                    </a:ln>
                  </pic:spPr>
                </pic:pic>
              </a:graphicData>
            </a:graphic>
          </wp:inline>
        </w:drawing>
      </w:r>
    </w:p>
    <w:p w14:paraId="4BFCCA49" w14:textId="241512B0" w:rsidR="00831E63" w:rsidRDefault="00831E63" w:rsidP="00831E63">
      <w:pPr>
        <w:pStyle w:val="TF"/>
        <w:jc w:val="both"/>
        <w:rPr>
          <w:lang w:val="en-US"/>
        </w:rPr>
      </w:pPr>
      <w:bookmarkStart w:id="14" w:name="_Ref8700337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357B6D">
        <w:rPr>
          <w:noProof/>
          <w:lang w:val="en-US"/>
        </w:rPr>
        <w:t>3</w:t>
      </w:r>
      <w:r w:rsidRPr="009B6F32">
        <w:rPr>
          <w:lang w:val="en-US"/>
        </w:rPr>
        <w:fldChar w:fldCharType="end"/>
      </w:r>
      <w:bookmarkEnd w:id="14"/>
      <w:r w:rsidRPr="009B6F32">
        <w:rPr>
          <w:lang w:val="en-US"/>
        </w:rPr>
        <w:t xml:space="preserve">: </w:t>
      </w:r>
      <w:r>
        <w:rPr>
          <w:lang w:val="en-US"/>
        </w:rPr>
        <w:t xml:space="preserve">Example of defining X-slot group boundaries based on </w:t>
      </w:r>
      <w:r w:rsidRPr="004D00D5">
        <w:rPr>
          <w:bCs/>
          <w:lang w:val="en-GB"/>
        </w:rPr>
        <w:t xml:space="preserve">the first monitoring slot </w:t>
      </w:r>
      <m:oMath>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0</m:t>
            </m:r>
          </m:sub>
        </m:sSub>
      </m:oMath>
      <w:r w:rsidRPr="004D00D5">
        <w:rPr>
          <w:bCs/>
          <w:lang w:val="en-GB"/>
        </w:rPr>
        <w:t xml:space="preserve"> for the type0 PDCCH</w:t>
      </w:r>
      <w:r>
        <w:rPr>
          <w:bCs/>
          <w:lang w:val="en-GB"/>
        </w:rPr>
        <w:t xml:space="preserve"> for both </w:t>
      </w:r>
      <w:proofErr w:type="spellStart"/>
      <w:r>
        <w:rPr>
          <w:bCs/>
          <w:lang w:val="en-GB"/>
        </w:rPr>
        <w:t>PCell</w:t>
      </w:r>
      <w:proofErr w:type="spellEnd"/>
      <w:r>
        <w:rPr>
          <w:bCs/>
          <w:lang w:val="en-GB"/>
        </w:rPr>
        <w:t>/</w:t>
      </w:r>
      <w:proofErr w:type="spellStart"/>
      <w:r>
        <w:rPr>
          <w:bCs/>
          <w:lang w:val="en-GB"/>
        </w:rPr>
        <w:t>PSCell</w:t>
      </w:r>
      <w:proofErr w:type="spellEnd"/>
      <w:r>
        <w:rPr>
          <w:bCs/>
          <w:lang w:val="en-GB"/>
        </w:rPr>
        <w:t xml:space="preserve"> and </w:t>
      </w:r>
      <w:proofErr w:type="spellStart"/>
      <w:r>
        <w:rPr>
          <w:bCs/>
          <w:lang w:val="en-GB"/>
        </w:rPr>
        <w:t>SCell</w:t>
      </w:r>
      <w:proofErr w:type="spellEnd"/>
      <w:r>
        <w:rPr>
          <w:lang w:val="en-US"/>
        </w:rPr>
        <w:t>. Monitoring</w:t>
      </w:r>
      <w:r>
        <w:rPr>
          <w:bCs/>
          <w:lang w:val="en-GB"/>
        </w:rPr>
        <w:t xml:space="preserve"> occasions of all search spaces always start at the </w:t>
      </w:r>
      <w:r w:rsidRPr="00C71D6B">
        <w:rPr>
          <w:bCs/>
          <w:lang w:val="en-GB"/>
        </w:rPr>
        <w:t>beginning of a slot group</w:t>
      </w:r>
      <w:r>
        <w:rPr>
          <w:bCs/>
          <w:lang w:val="en-GB"/>
        </w:rPr>
        <w:t>. This example is for X=4 and Y</w:t>
      </w:r>
      <w:r w:rsidRPr="00585F3D">
        <w:rPr>
          <w:bCs/>
          <w:vertAlign w:val="subscript"/>
          <w:lang w:val="en-GB"/>
        </w:rPr>
        <w:t>group1</w:t>
      </w:r>
      <w:r>
        <w:rPr>
          <w:bCs/>
          <w:lang w:val="en-GB"/>
        </w:rPr>
        <w:t>=1.</w:t>
      </w:r>
    </w:p>
    <w:p w14:paraId="4DC8375F" w14:textId="77777777" w:rsidR="00043A28" w:rsidRDefault="00043A28" w:rsidP="004A4A40">
      <w:pPr>
        <w:rPr>
          <w:rFonts w:eastAsiaTheme="minorEastAsia"/>
          <w:lang w:val="en-GB" w:eastAsia="ja-JP"/>
        </w:rPr>
      </w:pPr>
    </w:p>
    <w:p w14:paraId="60EA36E6" w14:textId="2E0ABB43" w:rsidR="00C42E10" w:rsidRDefault="008C26EB" w:rsidP="00206866">
      <w:pPr>
        <w:rPr>
          <w:rFonts w:cs="Arial"/>
          <w:szCs w:val="20"/>
          <w:lang w:val="en-GB" w:eastAsia="ja-JP"/>
        </w:rPr>
      </w:pPr>
      <w:r>
        <w:rPr>
          <w:lang w:val="en-GB" w:eastAsia="ja-JP"/>
        </w:rPr>
        <w:t xml:space="preserve">Based on the above analysis, we propose to modify the </w:t>
      </w:r>
      <w:r w:rsidR="004C628D">
        <w:rPr>
          <w:lang w:val="en-GB" w:eastAsia="ja-JP"/>
        </w:rPr>
        <w:t xml:space="preserve">definition of </w:t>
      </w:r>
      <w:r w:rsidR="004C628D">
        <w:rPr>
          <w:rFonts w:cs="Arial"/>
          <w:szCs w:val="20"/>
          <w:lang w:val="en-GB" w:eastAsia="ja-JP"/>
        </w:rPr>
        <w:t xml:space="preserve">X-slot group </w:t>
      </w:r>
      <w:r w:rsidR="004448A9">
        <w:rPr>
          <w:rFonts w:cs="Arial"/>
          <w:szCs w:val="20"/>
          <w:lang w:val="en-GB" w:eastAsia="ja-JP"/>
        </w:rPr>
        <w:t>grid</w:t>
      </w:r>
      <w:r w:rsidR="004C628D">
        <w:rPr>
          <w:rFonts w:cs="Arial"/>
          <w:szCs w:val="20"/>
          <w:lang w:val="en-GB" w:eastAsia="ja-JP"/>
        </w:rPr>
        <w:t xml:space="preserve"> as follows:</w:t>
      </w:r>
    </w:p>
    <w:p w14:paraId="5BFF6182" w14:textId="1A7A41CF" w:rsidR="00E224EE" w:rsidRDefault="00E224EE" w:rsidP="00E224EE">
      <w:pPr>
        <w:pStyle w:val="Proposal"/>
        <w:overflowPunct w:val="0"/>
        <w:autoSpaceDE w:val="0"/>
        <w:autoSpaceDN w:val="0"/>
        <w:adjustRightInd w:val="0"/>
        <w:spacing w:after="0" w:line="240" w:lineRule="auto"/>
        <w:textAlignment w:val="baseline"/>
        <w:rPr>
          <w:rFonts w:eastAsiaTheme="minorEastAsia"/>
        </w:rPr>
      </w:pPr>
      <w:bookmarkStart w:id="15" w:name="_Toc87014491"/>
      <w:r w:rsidRPr="00D71B37">
        <w:t xml:space="preserve">For </w:t>
      </w:r>
      <w:r w:rsidRPr="00D71B37">
        <w:rPr>
          <w:rFonts w:eastAsiaTheme="minorEastAsia"/>
        </w:rPr>
        <w:t>operation with 480/960 kHz SCS</w:t>
      </w:r>
      <w:r w:rsidRPr="00D71B37">
        <w:t xml:space="preserve"> </w:t>
      </w:r>
      <w:r w:rsidRPr="00D71B37">
        <w:rPr>
          <w:lang w:val="en-GB" w:eastAsia="ja-JP"/>
        </w:rPr>
        <w:t xml:space="preserve">multi-slot PDCCH monitoring with slot group size of X, </w:t>
      </w:r>
      <w:r w:rsidRPr="00D71B37">
        <w:rPr>
          <w:rFonts w:cs="Arial"/>
          <w:szCs w:val="20"/>
          <w:lang w:val="en-GB" w:eastAsia="ja-JP"/>
        </w:rPr>
        <w:t xml:space="preserve">the UE determines </w:t>
      </w:r>
      <w:r w:rsidR="001E579B">
        <w:rPr>
          <w:rFonts w:cs="Arial"/>
          <w:szCs w:val="20"/>
          <w:lang w:val="en-GB" w:eastAsia="ja-JP"/>
        </w:rPr>
        <w:t xml:space="preserve">that </w:t>
      </w:r>
      <w:r w:rsidRPr="00D71B37">
        <w:rPr>
          <w:rFonts w:cs="Arial"/>
          <w:szCs w:val="20"/>
          <w:lang w:val="en-GB" w:eastAsia="ja-JP"/>
        </w:rPr>
        <w:t xml:space="preserve">a </w:t>
      </w:r>
      <w:r>
        <w:rPr>
          <w:rFonts w:cs="Arial"/>
          <w:szCs w:val="20"/>
          <w:lang w:val="en-GB" w:eastAsia="ja-JP"/>
        </w:rPr>
        <w:t>slot</w:t>
      </w:r>
      <w:r w:rsidR="001E579B">
        <w:rPr>
          <w:rFonts w:cs="Arial"/>
          <w:szCs w:val="20"/>
          <w:lang w:val="en-GB" w:eastAsia="ja-JP"/>
        </w:rPr>
        <w:t xml:space="preserve"> with index</w:t>
      </w:r>
      <w:r>
        <w:rPr>
          <w:rFonts w:cs="Arial"/>
          <w:szCs w:val="20"/>
          <w:lang w:val="en-GB" w:eastAsia="ja-JP"/>
        </w:rPr>
        <w:t xml:space="preserve">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Pr="00D71B37">
        <w:rPr>
          <w:rFonts w:cs="Arial"/>
          <w:szCs w:val="20"/>
          <w:lang w:val="en-GB" w:eastAsia="ja-JP"/>
        </w:rPr>
        <w:t xml:space="preserve"> in a frame with </w:t>
      </w:r>
      <w:r w:rsidR="001E579B">
        <w:rPr>
          <w:rFonts w:cs="Arial"/>
          <w:szCs w:val="20"/>
          <w:lang w:val="en-GB" w:eastAsia="ja-JP"/>
        </w:rPr>
        <w:t>index</w:t>
      </w:r>
      <w:r w:rsidR="001E579B" w:rsidRPr="00D71B37">
        <w:rPr>
          <w:rFonts w:cs="Arial"/>
          <w:szCs w:val="20"/>
          <w:lang w:val="en-GB" w:eastAsia="ja-JP"/>
        </w:rPr>
        <w:t xml:space="preserve">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Pr="00D71B37">
        <w:rPr>
          <w:rFonts w:cs="Arial"/>
          <w:szCs w:val="20"/>
          <w:lang w:val="en-GB" w:eastAsia="ja-JP"/>
        </w:rPr>
        <w:t xml:space="preserve"> </w:t>
      </w:r>
      <w:r>
        <w:rPr>
          <w:rFonts w:cs="Arial"/>
          <w:szCs w:val="20"/>
          <w:lang w:val="en-GB" w:eastAsia="ja-JP"/>
        </w:rPr>
        <w:t>is the start of a X-slot group</w:t>
      </w:r>
      <w:r w:rsidRPr="009D31AB">
        <w:rPr>
          <w:rFonts w:cs="Arial"/>
          <w:szCs w:val="20"/>
          <w:lang w:val="en-GB" w:eastAsia="ja-JP"/>
        </w:rPr>
        <w:t xml:space="preserve"> if</w:t>
      </w:r>
      <w:bookmarkEnd w:id="15"/>
    </w:p>
    <w:bookmarkStart w:id="16" w:name="_Toc87014492"/>
    <w:p w14:paraId="6F4CAD30" w14:textId="50537FD1" w:rsidR="00E224EE" w:rsidRDefault="00415413" w:rsidP="00E224EE">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X=0,</m:t>
          </m:r>
          <w:bookmarkEnd w:id="16"/>
          <m:r>
            <m:rPr>
              <m:sty m:val="bi"/>
            </m:rPr>
            <w:rPr>
              <w:rFonts w:ascii="Cambria Math" w:hAnsi="Cambria Math"/>
              <w:lang w:val="en-GB" w:eastAsia="ja-JP"/>
            </w:rPr>
            <m:t xml:space="preserve"> </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5A59FCB2" w14:textId="7064F08E" w:rsidR="00E13CDE" w:rsidRDefault="00E13CDE" w:rsidP="00463DA3">
      <w:pPr>
        <w:pStyle w:val="Proposal"/>
        <w:numPr>
          <w:ilvl w:val="0"/>
          <w:numId w:val="0"/>
        </w:numPr>
        <w:tabs>
          <w:tab w:val="clear" w:pos="1701"/>
        </w:tabs>
        <w:overflowPunct w:val="0"/>
        <w:autoSpaceDE w:val="0"/>
        <w:autoSpaceDN w:val="0"/>
        <w:adjustRightInd w:val="0"/>
        <w:spacing w:line="240" w:lineRule="auto"/>
        <w:ind w:left="1354"/>
        <w:textAlignment w:val="baseline"/>
        <w:rPr>
          <w:rFonts w:eastAsiaTheme="minorEastAsia" w:cs="Arial"/>
          <w:lang w:val="en-GB" w:eastAsia="ja-JP"/>
        </w:rPr>
      </w:pPr>
      <w:bookmarkStart w:id="17" w:name="_Toc87014493"/>
      <w:r>
        <w:rPr>
          <w:rFonts w:eastAsia="Calibri" w:cs="Arial"/>
          <w:lang w:val="en-GB" w:eastAsia="ja-JP"/>
        </w:rPr>
        <w:t xml:space="preserve">where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sidR="00941DB5">
        <w:rPr>
          <w:rFonts w:eastAsia="Calibri" w:cs="Arial"/>
          <w:lang w:val="en-GB" w:eastAsia="ja-JP"/>
        </w:rPr>
        <w:t xml:space="preserve"> is the slot group grid </w:t>
      </w:r>
      <w:proofErr w:type="gramStart"/>
      <w:r w:rsidR="00941DB5">
        <w:rPr>
          <w:rFonts w:eastAsia="Calibri" w:cs="Arial"/>
          <w:lang w:val="en-GB" w:eastAsia="ja-JP"/>
        </w:rPr>
        <w:t>offset</w:t>
      </w:r>
      <w:r>
        <w:rPr>
          <w:rFonts w:eastAsia="Calibri" w:cs="Arial"/>
          <w:lang w:val="en-GB" w:eastAsia="ja-JP"/>
        </w:rPr>
        <w:t>.</w:t>
      </w:r>
      <w:proofErr w:type="gramEnd"/>
      <w:r>
        <w:rPr>
          <w:rFonts w:eastAsia="Calibri" w:cs="Arial"/>
          <w:lang w:val="en-GB" w:eastAsia="ja-JP"/>
        </w:rPr>
        <w:t xml:space="preserve"> </w:t>
      </w:r>
      <w:r>
        <w:rPr>
          <w:rFonts w:eastAsia="Calibri" w:cs="Arial"/>
          <w:szCs w:val="20"/>
          <w:lang w:val="en-GB" w:eastAsia="ja-JP"/>
        </w:rPr>
        <w:t xml:space="preserve">With this X-slot group grid definition, the </w:t>
      </w:r>
      <w:r w:rsidRPr="001D40C2">
        <w:rPr>
          <w:rFonts w:eastAsia="Calibri" w:cs="Arial"/>
          <w:szCs w:val="20"/>
          <w:lang w:val="en-GB" w:eastAsia="ja-JP"/>
        </w:rPr>
        <w:t xml:space="preserve">monitoring slot(s) </w:t>
      </w:r>
      <w:r w:rsidR="002839EE">
        <w:rPr>
          <w:rFonts w:eastAsia="Calibri" w:cs="Arial"/>
          <w:szCs w:val="20"/>
          <w:lang w:val="en-GB" w:eastAsia="ja-JP"/>
        </w:rPr>
        <w:t xml:space="preserve">for all </w:t>
      </w:r>
      <w:r w:rsidR="001F6F30">
        <w:rPr>
          <w:rFonts w:eastAsia="Calibri" w:cs="Arial"/>
          <w:szCs w:val="20"/>
          <w:lang w:val="en-GB" w:eastAsia="ja-JP"/>
        </w:rPr>
        <w:t>search spaces</w:t>
      </w:r>
      <w:r w:rsidR="002839EE">
        <w:rPr>
          <w:rFonts w:eastAsia="Calibri" w:cs="Arial"/>
          <w:szCs w:val="20"/>
          <w:lang w:val="en-GB" w:eastAsia="ja-JP"/>
        </w:rPr>
        <w:t xml:space="preserve"> </w:t>
      </w:r>
      <w:r w:rsidRPr="001D40C2">
        <w:rPr>
          <w:rFonts w:eastAsia="Calibri" w:cs="Arial"/>
          <w:szCs w:val="20"/>
          <w:lang w:val="en-GB" w:eastAsia="ja-JP"/>
        </w:rPr>
        <w:t>are always at the beginning of a slot group</w:t>
      </w:r>
      <w:r>
        <w:rPr>
          <w:rFonts w:eastAsia="Calibri" w:cs="Arial"/>
          <w:szCs w:val="20"/>
          <w:lang w:val="en-GB" w:eastAsia="ja-JP"/>
        </w:rPr>
        <w:t xml:space="preserve"> and back-to-back PDCCH processing overloading is avoided.</w:t>
      </w:r>
      <w:bookmarkEnd w:id="17"/>
    </w:p>
    <w:p w14:paraId="230D2389" w14:textId="29147F83" w:rsidR="002A2B87" w:rsidRDefault="002A2B87" w:rsidP="002A2B87">
      <w:pPr>
        <w:pStyle w:val="Proposal"/>
        <w:overflowPunct w:val="0"/>
        <w:autoSpaceDE w:val="0"/>
        <w:autoSpaceDN w:val="0"/>
        <w:adjustRightInd w:val="0"/>
        <w:spacing w:after="0" w:line="240" w:lineRule="auto"/>
        <w:textAlignment w:val="baseline"/>
        <w:rPr>
          <w:rFonts w:eastAsiaTheme="minorEastAsia"/>
        </w:rPr>
      </w:pPr>
      <w:bookmarkStart w:id="18" w:name="_Toc87014210"/>
      <w:bookmarkStart w:id="19" w:name="_Toc87014494"/>
      <w:bookmarkEnd w:id="18"/>
      <w:r w:rsidRPr="00D71B37">
        <w:t xml:space="preserve">For </w:t>
      </w:r>
      <w:r>
        <w:rPr>
          <w:rFonts w:eastAsiaTheme="minorEastAsia"/>
        </w:rPr>
        <w:t>a</w:t>
      </w:r>
      <w:r w:rsidRPr="00D71B37">
        <w:rPr>
          <w:rFonts w:eastAsiaTheme="minorEastAsia"/>
        </w:rPr>
        <w:t xml:space="preserve"> 480/960 kHz SCS</w:t>
      </w:r>
      <w:r w:rsidRPr="00D71B37">
        <w:t xml:space="preserve"> </w:t>
      </w:r>
      <w:r>
        <w:t xml:space="preserve">serving cell operating with </w:t>
      </w:r>
      <w:r w:rsidRPr="00D71B37">
        <w:rPr>
          <w:lang w:val="en-GB" w:eastAsia="ja-JP"/>
        </w:rPr>
        <w:t xml:space="preserve">multi-slot PDCCH monitoring with slot group size of X, </w:t>
      </w:r>
      <w:r w:rsidRPr="00D71B37">
        <w:rPr>
          <w:rFonts w:cs="Arial"/>
          <w:szCs w:val="20"/>
          <w:lang w:val="en-GB" w:eastAsia="ja-JP"/>
        </w:rPr>
        <w:t xml:space="preserve">the </w:t>
      </w:r>
      <w:r w:rsidR="00CB6BCD">
        <w:rPr>
          <w:rFonts w:cs="Arial"/>
          <w:szCs w:val="20"/>
          <w:lang w:val="en-GB" w:eastAsia="ja-JP"/>
        </w:rPr>
        <w:t>slot group grid offset is</w:t>
      </w:r>
      <w:r w:rsidR="007D7104">
        <w:rPr>
          <w:rFonts w:cs="Arial"/>
          <w:szCs w:val="20"/>
          <w:lang w:val="en-GB" w:eastAsia="ja-JP"/>
        </w:rPr>
        <w:t xml:space="preserve"> determined as</w:t>
      </w:r>
      <w:bookmarkEnd w:id="19"/>
    </w:p>
    <w:bookmarkStart w:id="20" w:name="_Toc87014495"/>
    <w:p w14:paraId="4A1910E4" w14:textId="610C5217" w:rsidR="002A2B87" w:rsidRPr="0038781A" w:rsidRDefault="00415413" w:rsidP="002A2B87">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m:t>
              </m:r>
            </m:sub>
          </m:sSub>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m:t>
          </m:r>
          <w:bookmarkEnd w:id="20"/>
          <m:r>
            <m:rPr>
              <m:sty m:val="bi"/>
            </m:rPr>
            <w:rPr>
              <w:rFonts w:ascii="Cambria Math" w:hAnsi="Cambria Math"/>
              <w:lang w:val="en-GB" w:eastAsia="ja-JP"/>
            </w:rPr>
            <m:t xml:space="preserve"> </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3EA9D7AA" w14:textId="3C2C4DD8" w:rsidR="002A2B87" w:rsidRDefault="002A2B87" w:rsidP="002A2B87">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eastAsiaTheme="minorEastAsia" w:cs="Arial"/>
          <w:lang w:val="en-GB" w:eastAsia="ja-JP"/>
        </w:rPr>
      </w:pPr>
      <w:bookmarkStart w:id="21" w:name="_Toc87014496"/>
      <w:r>
        <w:rPr>
          <w:rFonts w:eastAsia="Calibri" w:cs="Arial"/>
          <w:lang w:val="en-GB" w:eastAsia="ja-JP"/>
        </w:rPr>
        <w:t xml:space="preserve">where </w:t>
      </w:r>
      <m:oMath>
        <m:sSub>
          <m:sSubPr>
            <m:ctrlPr>
              <w:rPr>
                <w:rFonts w:ascii="Cambria Math" w:eastAsia="Calibri" w:hAnsi="Cambria Math" w:cs="Arial"/>
                <w:i/>
                <w:lang w:val="en-GB" w:eastAsia="ja-JP"/>
              </w:rPr>
            </m:ctrlPr>
          </m:sSubPr>
          <m:e>
            <m:r>
              <m:rPr>
                <m:sty m:val="bi"/>
              </m:rPr>
              <w:rPr>
                <w:rFonts w:ascii="Cambria Math" w:eastAsia="Calibri" w:hAnsi="Cambria Math" w:cs="Arial"/>
                <w:lang w:val="en-GB" w:eastAsia="ja-JP"/>
              </w:rPr>
              <m:t>n</m:t>
            </m:r>
          </m:e>
          <m:sub>
            <m:r>
              <m:rPr>
                <m:sty m:val="bi"/>
              </m:rPr>
              <w:rPr>
                <w:rFonts w:ascii="Cambria Math" w:eastAsia="Calibri" w:hAnsi="Cambria Math" w:cs="Arial"/>
                <w:lang w:val="en-GB" w:eastAsia="ja-JP"/>
              </w:rPr>
              <m:t>0</m:t>
            </m:r>
          </m:sub>
        </m:sSub>
      </m:oMath>
      <w:r>
        <w:rPr>
          <w:rFonts w:eastAsia="Calibri" w:cs="Arial"/>
          <w:lang w:val="en-GB" w:eastAsia="ja-JP"/>
        </w:rPr>
        <w:t xml:space="preserve"> is the index of the first monitoring slot for the type0 PDCCH</w:t>
      </w:r>
      <w:r w:rsidR="00C32B78">
        <w:rPr>
          <w:rFonts w:eastAsia="Calibri" w:cs="Arial"/>
          <w:lang w:val="en-GB" w:eastAsia="ja-JP"/>
        </w:rPr>
        <w:t xml:space="preserve"> on the </w:t>
      </w:r>
      <w:proofErr w:type="spellStart"/>
      <w:r w:rsidR="00C32B78">
        <w:rPr>
          <w:rFonts w:eastAsia="Calibri" w:cs="Arial"/>
          <w:lang w:val="en-GB" w:eastAsia="ja-JP"/>
        </w:rPr>
        <w:t>PCell</w:t>
      </w:r>
      <w:proofErr w:type="spellEnd"/>
      <w:r w:rsidR="00C32B78">
        <w:rPr>
          <w:rFonts w:eastAsia="Calibri" w:cs="Arial"/>
          <w:lang w:val="en-GB" w:eastAsia="ja-JP"/>
        </w:rPr>
        <w:t>/</w:t>
      </w:r>
      <w:proofErr w:type="spellStart"/>
      <w:r w:rsidR="00C32B78">
        <w:rPr>
          <w:rFonts w:eastAsia="Calibri" w:cs="Arial"/>
          <w:lang w:val="en-GB" w:eastAsia="ja-JP"/>
        </w:rPr>
        <w:t>PSCell</w:t>
      </w:r>
      <w:proofErr w:type="spellEnd"/>
      <w:r w:rsidR="00C32B78">
        <w:rPr>
          <w:rFonts w:eastAsia="Calibri" w:cs="Arial"/>
          <w:lang w:val="en-GB" w:eastAsia="ja-JP"/>
        </w:rPr>
        <w:t xml:space="preserve"> if the </w:t>
      </w:r>
      <w:proofErr w:type="spellStart"/>
      <w:r w:rsidR="00C32B78">
        <w:rPr>
          <w:rFonts w:eastAsia="Calibri" w:cs="Arial"/>
          <w:lang w:val="en-GB" w:eastAsia="ja-JP"/>
        </w:rPr>
        <w:t>PCell</w:t>
      </w:r>
      <w:proofErr w:type="spellEnd"/>
      <w:r w:rsidR="00C32B78">
        <w:rPr>
          <w:rFonts w:eastAsia="Calibri" w:cs="Arial"/>
          <w:lang w:val="en-GB" w:eastAsia="ja-JP"/>
        </w:rPr>
        <w:t>/</w:t>
      </w:r>
      <w:proofErr w:type="spellStart"/>
      <w:r w:rsidR="00C32B78">
        <w:rPr>
          <w:rFonts w:eastAsia="Calibri" w:cs="Arial"/>
          <w:lang w:val="en-GB" w:eastAsia="ja-JP"/>
        </w:rPr>
        <w:t>PSCell</w:t>
      </w:r>
      <w:proofErr w:type="spellEnd"/>
      <w:r w:rsidR="00C32B78">
        <w:rPr>
          <w:rFonts w:eastAsia="Calibri" w:cs="Arial"/>
          <w:lang w:val="en-GB" w:eastAsia="ja-JP"/>
        </w:rPr>
        <w:t xml:space="preserve"> operates with multi-slot PDCCH monitoring </w:t>
      </w:r>
      <w:r w:rsidR="003C677F">
        <w:rPr>
          <w:rFonts w:eastAsia="Calibri" w:cs="Arial"/>
          <w:lang w:val="en-GB" w:eastAsia="ja-JP"/>
        </w:rPr>
        <w:t xml:space="preserve">and </w:t>
      </w:r>
      <m:oMath>
        <m:sSub>
          <m:sSubPr>
            <m:ctrlPr>
              <w:rPr>
                <w:rFonts w:ascii="Cambria Math" w:eastAsia="Calibri" w:hAnsi="Cambria Math" w:cs="Arial"/>
                <w:i/>
                <w:lang w:val="en-GB" w:eastAsia="ja-JP"/>
              </w:rPr>
            </m:ctrlPr>
          </m:sSubPr>
          <m:e>
            <m:r>
              <m:rPr>
                <m:sty m:val="bi"/>
              </m:rPr>
              <w:rPr>
                <w:rFonts w:ascii="Cambria Math" w:eastAsia="Calibri" w:hAnsi="Cambria Math" w:cs="Arial"/>
                <w:lang w:val="en-GB" w:eastAsia="ja-JP"/>
              </w:rPr>
              <m:t>n</m:t>
            </m:r>
          </m:e>
          <m:sub>
            <m:r>
              <m:rPr>
                <m:sty m:val="bi"/>
              </m:rPr>
              <w:rPr>
                <w:rFonts w:ascii="Cambria Math" w:eastAsia="Calibri" w:hAnsi="Cambria Math" w:cs="Arial"/>
                <w:lang w:val="en-GB" w:eastAsia="ja-JP"/>
              </w:rPr>
              <m:t>0</m:t>
            </m:r>
          </m:sub>
        </m:sSub>
        <m:r>
          <m:rPr>
            <m:sty m:val="bi"/>
          </m:rPr>
          <w:rPr>
            <w:rFonts w:ascii="Cambria Math" w:eastAsia="Calibri" w:hAnsi="Cambria Math" w:cs="Arial"/>
            <w:lang w:val="en-GB" w:eastAsia="ja-JP"/>
          </w:rPr>
          <m:t>=0</m:t>
        </m:r>
      </m:oMath>
      <w:r w:rsidR="003C677F">
        <w:rPr>
          <w:rFonts w:eastAsia="Calibri" w:cs="Arial"/>
          <w:lang w:val="en-GB" w:eastAsia="ja-JP"/>
        </w:rPr>
        <w:t xml:space="preserve"> if the PCell/PSCell does not operate with multi-slot PDCCH monitoring</w:t>
      </w:r>
      <w:r>
        <w:rPr>
          <w:rFonts w:eastAsia="Calibri" w:cs="Arial"/>
          <w:lang w:val="en-GB" w:eastAsia="ja-JP"/>
        </w:rPr>
        <w:t>.</w:t>
      </w:r>
      <w:bookmarkEnd w:id="21"/>
    </w:p>
    <w:p w14:paraId="44BCF3EF" w14:textId="77777777" w:rsidR="0071076F" w:rsidRDefault="0071076F" w:rsidP="00206866">
      <w:pPr>
        <w:rPr>
          <w:lang w:val="en-GB" w:eastAsia="ja-JP"/>
        </w:rPr>
      </w:pPr>
    </w:p>
    <w:p w14:paraId="6AAA3437" w14:textId="635B3D38" w:rsidR="00287D79" w:rsidRDefault="00287D79" w:rsidP="00287D79">
      <w:pPr>
        <w:pStyle w:val="Heading3"/>
      </w:pPr>
      <w:bookmarkStart w:id="22" w:name="_Toc86845007"/>
      <w:r>
        <w:lastRenderedPageBreak/>
        <w:t>2.1.</w:t>
      </w:r>
      <w:r w:rsidR="00FA4507">
        <w:t>2</w:t>
      </w:r>
      <w:r>
        <w:tab/>
        <w:t>Group (1) search space</w:t>
      </w:r>
      <w:bookmarkEnd w:id="22"/>
      <w:r w:rsidR="000C34A7">
        <w:t xml:space="preserve"> configuration</w:t>
      </w:r>
    </w:p>
    <w:p w14:paraId="4F9DE3A3" w14:textId="4037F141" w:rsidR="00453D61" w:rsidRDefault="00453D61" w:rsidP="00453D61">
      <w:pPr>
        <w:rPr>
          <w:lang w:val="en-GB" w:eastAsia="ja-JP"/>
        </w:rPr>
      </w:pPr>
      <w:r>
        <w:rPr>
          <w:lang w:val="en-GB" w:eastAsia="ja-JP"/>
        </w:rPr>
        <w:t xml:space="preserve">To </w:t>
      </w:r>
      <w:r w:rsidR="00217ECA">
        <w:rPr>
          <w:lang w:val="en-GB" w:eastAsia="ja-JP"/>
        </w:rPr>
        <w:t xml:space="preserve">align the slots containing monitoring occasions within a slot group of size </w:t>
      </w:r>
      <m:oMath>
        <m:r>
          <w:rPr>
            <w:rFonts w:ascii="Cambria Math" w:hAnsi="Cambria Math"/>
            <w:lang w:val="en-GB" w:eastAsia="ja-JP"/>
          </w:rPr>
          <m:t>X</m:t>
        </m:r>
      </m:oMath>
      <w:r w:rsidR="00217ECA">
        <w:rPr>
          <w:lang w:val="en-GB" w:eastAsia="ja-JP"/>
        </w:rPr>
        <w:t xml:space="preserve"> for both Group (1) and Group (2) search spaces</w:t>
      </w:r>
      <w:r>
        <w:rPr>
          <w:lang w:val="en-GB" w:eastAsia="ja-JP"/>
        </w:rPr>
        <w:t xml:space="preserve">, the RRC configuration </w:t>
      </w:r>
      <w:r w:rsidR="00C652C6">
        <w:rPr>
          <w:lang w:val="en-GB" w:eastAsia="ja-JP"/>
        </w:rPr>
        <w:t xml:space="preserve">for Group (1) search spaces </w:t>
      </w:r>
      <w:r>
        <w:rPr>
          <w:lang w:val="en-GB" w:eastAsia="ja-JP"/>
        </w:rPr>
        <w:t>provides at least</w:t>
      </w:r>
    </w:p>
    <w:p w14:paraId="7732BFC6" w14:textId="77777777" w:rsidR="00453D61" w:rsidRPr="00A9596C" w:rsidRDefault="00453D61" w:rsidP="00453D61">
      <w:pPr>
        <w:pStyle w:val="ListParagraph"/>
        <w:numPr>
          <w:ilvl w:val="0"/>
          <w:numId w:val="26"/>
        </w:numPr>
        <w:jc w:val="left"/>
        <w:rPr>
          <w:rFonts w:ascii="Arial" w:hAnsi="Arial" w:cs="Arial"/>
          <w:sz w:val="20"/>
          <w:szCs w:val="20"/>
          <w:lang w:val="en-GB" w:eastAsia="ja-JP"/>
        </w:rPr>
      </w:pPr>
      <w:r w:rsidRPr="00A9596C">
        <w:rPr>
          <w:rFonts w:ascii="Arial" w:hAnsi="Arial" w:cs="Arial"/>
          <w:sz w:val="20"/>
          <w:szCs w:val="20"/>
          <w:lang w:val="en-GB" w:eastAsia="ja-JP"/>
        </w:rPr>
        <w:t>periodicity in terms of X-slot groups</w:t>
      </w:r>
    </w:p>
    <w:p w14:paraId="70F40DC8" w14:textId="77777777" w:rsidR="00453D61" w:rsidRPr="00A9596C" w:rsidRDefault="00453D61" w:rsidP="00453D61">
      <w:pPr>
        <w:pStyle w:val="ListParagraph"/>
        <w:numPr>
          <w:ilvl w:val="0"/>
          <w:numId w:val="26"/>
        </w:numPr>
        <w:jc w:val="left"/>
        <w:rPr>
          <w:rFonts w:ascii="Arial" w:hAnsi="Arial" w:cs="Arial"/>
          <w:sz w:val="20"/>
          <w:szCs w:val="20"/>
          <w:lang w:val="en-GB" w:eastAsia="ja-JP"/>
        </w:rPr>
      </w:pPr>
      <w:r w:rsidRPr="00A9596C">
        <w:rPr>
          <w:rFonts w:ascii="Arial" w:hAnsi="Arial" w:cs="Arial"/>
          <w:sz w:val="20"/>
          <w:szCs w:val="20"/>
          <w:lang w:val="en-GB" w:eastAsia="ja-JP"/>
        </w:rPr>
        <w:t>offset in terms of X-slot groups within the period</w:t>
      </w:r>
    </w:p>
    <w:p w14:paraId="5DC19F6D" w14:textId="77777777" w:rsidR="00453D61" w:rsidRPr="00A9596C" w:rsidRDefault="00453D61" w:rsidP="00453D61">
      <w:pPr>
        <w:pStyle w:val="ListParagraph"/>
        <w:numPr>
          <w:ilvl w:val="0"/>
          <w:numId w:val="26"/>
        </w:numPr>
        <w:jc w:val="left"/>
        <w:rPr>
          <w:rFonts w:ascii="Arial" w:hAnsi="Arial" w:cs="Arial"/>
          <w:sz w:val="20"/>
          <w:szCs w:val="20"/>
          <w:lang w:val="en-GB" w:eastAsia="ja-JP"/>
        </w:rPr>
      </w:pPr>
      <w:r w:rsidRPr="00A9596C">
        <w:rPr>
          <w:rFonts w:ascii="Arial" w:hAnsi="Arial" w:cs="Arial"/>
          <w:sz w:val="20"/>
          <w:szCs w:val="20"/>
          <w:lang w:val="en-GB" w:eastAsia="ja-JP"/>
        </w:rPr>
        <w:t>duration in terms of X-slot groups within the period</w:t>
      </w:r>
    </w:p>
    <w:p w14:paraId="680DF67B" w14:textId="77777777" w:rsidR="00453D61" w:rsidRPr="00E52AAC" w:rsidRDefault="00453D61" w:rsidP="00453D61">
      <w:pPr>
        <w:pStyle w:val="ListParagraph"/>
        <w:numPr>
          <w:ilvl w:val="0"/>
          <w:numId w:val="26"/>
        </w:numPr>
        <w:spacing w:after="120"/>
        <w:jc w:val="left"/>
        <w:rPr>
          <w:rFonts w:ascii="Arial" w:hAnsi="Arial" w:cs="Arial"/>
          <w:i/>
          <w:iCs/>
          <w:sz w:val="20"/>
          <w:szCs w:val="20"/>
          <w:lang w:val="en-GB" w:eastAsia="ja-JP"/>
        </w:rPr>
      </w:pPr>
      <w:proofErr w:type="spellStart"/>
      <w:r w:rsidRPr="00E52AAC">
        <w:rPr>
          <w:rFonts w:ascii="Arial" w:hAnsi="Arial" w:cs="Arial"/>
          <w:i/>
          <w:iCs/>
          <w:sz w:val="20"/>
          <w:szCs w:val="20"/>
          <w:lang w:val="en-GB" w:eastAsia="ja-JP"/>
        </w:rPr>
        <w:t>monitoringSymbolsWithinSlot</w:t>
      </w:r>
      <w:proofErr w:type="spellEnd"/>
    </w:p>
    <w:p w14:paraId="560F2F6F" w14:textId="6D21D858" w:rsidR="0064363B" w:rsidRDefault="00C65D47" w:rsidP="00453D61">
      <w:pPr>
        <w:rPr>
          <w:lang w:val="en-GB" w:eastAsia="ja-JP"/>
        </w:rPr>
      </w:pPr>
      <w:r>
        <w:rPr>
          <w:szCs w:val="20"/>
          <w:lang w:val="en-GB" w:eastAsia="ja-JP"/>
        </w:rPr>
        <w:t xml:space="preserve">With the X-slot group </w:t>
      </w:r>
      <w:r w:rsidR="00893DED">
        <w:rPr>
          <w:szCs w:val="20"/>
          <w:lang w:val="en-GB" w:eastAsia="ja-JP"/>
        </w:rPr>
        <w:t>boundar</w:t>
      </w:r>
      <w:r w:rsidR="00A51F10">
        <w:rPr>
          <w:szCs w:val="20"/>
          <w:lang w:val="en-GB" w:eastAsia="ja-JP"/>
        </w:rPr>
        <w:t xml:space="preserve">y definition presented in the last section, </w:t>
      </w:r>
      <w:r w:rsidR="00453D61">
        <w:rPr>
          <w:szCs w:val="20"/>
          <w:lang w:val="en-GB" w:eastAsia="ja-JP"/>
        </w:rPr>
        <w:t>t</w:t>
      </w:r>
      <w:r w:rsidR="00453D61" w:rsidRPr="00A9596C">
        <w:rPr>
          <w:szCs w:val="20"/>
          <w:lang w:val="en-GB" w:eastAsia="ja-JP"/>
        </w:rPr>
        <w:t>he monitoring slot</w:t>
      </w:r>
      <w:r w:rsidR="00975EF8">
        <w:rPr>
          <w:szCs w:val="20"/>
          <w:lang w:val="en-GB" w:eastAsia="ja-JP"/>
        </w:rPr>
        <w:t>(</w:t>
      </w:r>
      <w:r w:rsidR="005F0CF3">
        <w:rPr>
          <w:szCs w:val="20"/>
          <w:lang w:val="en-GB" w:eastAsia="ja-JP"/>
        </w:rPr>
        <w:t>s</w:t>
      </w:r>
      <w:r w:rsidR="00975EF8">
        <w:rPr>
          <w:szCs w:val="20"/>
          <w:lang w:val="en-GB" w:eastAsia="ja-JP"/>
        </w:rPr>
        <w:t>)</w:t>
      </w:r>
      <w:r w:rsidR="00453D61" w:rsidRPr="00A9596C">
        <w:rPr>
          <w:szCs w:val="20"/>
          <w:lang w:val="en-GB" w:eastAsia="ja-JP"/>
        </w:rPr>
        <w:t xml:space="preserve"> within </w:t>
      </w:r>
      <w:r w:rsidR="00975EF8">
        <w:rPr>
          <w:szCs w:val="20"/>
          <w:lang w:val="en-GB" w:eastAsia="ja-JP"/>
        </w:rPr>
        <w:t xml:space="preserve">a </w:t>
      </w:r>
      <w:r w:rsidR="00453D61" w:rsidRPr="00A9596C">
        <w:rPr>
          <w:szCs w:val="20"/>
          <w:lang w:val="en-GB" w:eastAsia="ja-JP"/>
        </w:rPr>
        <w:t xml:space="preserve">X-slot group for </w:t>
      </w:r>
      <w:r w:rsidR="0064363B">
        <w:rPr>
          <w:szCs w:val="20"/>
          <w:lang w:val="en-GB" w:eastAsia="ja-JP"/>
        </w:rPr>
        <w:t xml:space="preserve">a </w:t>
      </w:r>
      <w:r w:rsidR="00453D61" w:rsidRPr="00A9596C">
        <w:rPr>
          <w:szCs w:val="20"/>
          <w:lang w:val="en-GB" w:eastAsia="ja-JP"/>
        </w:rPr>
        <w:t xml:space="preserve">Group (1) </w:t>
      </w:r>
      <w:r w:rsidR="008D69A5">
        <w:rPr>
          <w:lang w:val="en-GB" w:eastAsia="ja-JP"/>
        </w:rPr>
        <w:t xml:space="preserve">search space </w:t>
      </w:r>
      <w:r w:rsidR="0064363B">
        <w:rPr>
          <w:lang w:val="en-GB" w:eastAsia="ja-JP"/>
        </w:rPr>
        <w:t>always locate</w:t>
      </w:r>
      <w:r w:rsidR="00975EF8">
        <w:rPr>
          <w:lang w:val="en-GB" w:eastAsia="ja-JP"/>
        </w:rPr>
        <w:t>(</w:t>
      </w:r>
      <w:r w:rsidR="0064363B">
        <w:rPr>
          <w:lang w:val="en-GB" w:eastAsia="ja-JP"/>
        </w:rPr>
        <w:t>s</w:t>
      </w:r>
      <w:r w:rsidR="00975EF8">
        <w:rPr>
          <w:lang w:val="en-GB" w:eastAsia="ja-JP"/>
        </w:rPr>
        <w:t>)</w:t>
      </w:r>
      <w:r w:rsidR="0064363B">
        <w:rPr>
          <w:lang w:val="en-GB" w:eastAsia="ja-JP"/>
        </w:rPr>
        <w:t xml:space="preserve"> at the beginning of a X-slot group.</w:t>
      </w:r>
      <w:r w:rsidR="00FD4B6C">
        <w:rPr>
          <w:lang w:val="en-GB" w:eastAsia="ja-JP"/>
        </w:rPr>
        <w:t xml:space="preserve"> Hence, there is no need to provide </w:t>
      </w:r>
      <w:r w:rsidR="00945ADE">
        <w:rPr>
          <w:rFonts w:eastAsiaTheme="minorEastAsia"/>
        </w:rPr>
        <w:t xml:space="preserve">a monitoring slot offset within slot group </w:t>
      </w:r>
      <w:r w:rsidR="00776982">
        <w:rPr>
          <w:rFonts w:eastAsiaTheme="minorEastAsia"/>
        </w:rPr>
        <w:t>in the RRC configuration</w:t>
      </w:r>
      <w:r w:rsidR="000D41FE">
        <w:rPr>
          <w:rFonts w:eastAsiaTheme="minorEastAsia"/>
        </w:rPr>
        <w:t xml:space="preserve"> if </w:t>
      </w:r>
      <w:r w:rsidR="000D41FE">
        <w:t>Y</w:t>
      </w:r>
      <w:r w:rsidR="000D41FE" w:rsidRPr="00501383">
        <w:rPr>
          <w:vertAlign w:val="subscript"/>
        </w:rPr>
        <w:t>group1</w:t>
      </w:r>
      <w:r w:rsidR="000D41FE">
        <w:t xml:space="preserve"> = 1</w:t>
      </w:r>
      <w:r w:rsidR="00776982">
        <w:rPr>
          <w:rFonts w:eastAsiaTheme="minorEastAsia"/>
        </w:rPr>
        <w:t>.</w:t>
      </w:r>
    </w:p>
    <w:p w14:paraId="292EECE9" w14:textId="67E21EA3" w:rsidR="00453D61" w:rsidRPr="00776982" w:rsidRDefault="00453D61" w:rsidP="00776982">
      <w:pPr>
        <w:rPr>
          <w:szCs w:val="20"/>
          <w:lang w:val="en-GB" w:eastAsia="ja-JP"/>
        </w:rPr>
      </w:pPr>
      <w:r w:rsidRPr="00776982">
        <w:rPr>
          <w:szCs w:val="20"/>
          <w:lang w:val="en-GB" w:eastAsia="ja-JP"/>
        </w:rPr>
        <w:t xml:space="preserve">One simple approach to enable the periodicity, offset and duration for search space configuration in unit of </w:t>
      </w:r>
      <m:oMath>
        <m:r>
          <w:rPr>
            <w:rFonts w:ascii="Cambria Math" w:hAnsi="Cambria Math"/>
            <w:szCs w:val="20"/>
            <w:lang w:val="en-GB" w:eastAsia="ja-JP"/>
          </w:rPr>
          <m:t>X</m:t>
        </m:r>
      </m:oMath>
      <w:r w:rsidRPr="00776982">
        <w:rPr>
          <w:szCs w:val="20"/>
          <w:lang w:val="en-GB" w:eastAsia="ja-JP"/>
        </w:rPr>
        <w:t xml:space="preserve"> slots is to reinterpret existing RRC fields </w:t>
      </w:r>
      <w:proofErr w:type="spellStart"/>
      <w:r w:rsidRPr="00AB4F58">
        <w:rPr>
          <w:i/>
          <w:iCs/>
          <w:szCs w:val="20"/>
          <w:lang w:val="en-GB" w:eastAsia="ja-JP"/>
        </w:rPr>
        <w:t>monitoringSlotPeriodicityAndOffset</w:t>
      </w:r>
      <w:proofErr w:type="spellEnd"/>
      <w:r w:rsidRPr="00776982">
        <w:rPr>
          <w:szCs w:val="20"/>
          <w:lang w:val="en-GB" w:eastAsia="ja-JP"/>
        </w:rPr>
        <w:t xml:space="preserve"> and </w:t>
      </w:r>
      <w:r w:rsidRPr="00AB4F58">
        <w:rPr>
          <w:i/>
          <w:iCs/>
          <w:szCs w:val="20"/>
          <w:lang w:val="en-GB" w:eastAsia="ja-JP"/>
        </w:rPr>
        <w:t>duration</w:t>
      </w:r>
      <w:r w:rsidRPr="00776982">
        <w:rPr>
          <w:szCs w:val="20"/>
          <w:lang w:val="en-GB" w:eastAsia="ja-JP"/>
        </w:rPr>
        <w:t xml:space="preserve"> as in unit of </w:t>
      </w:r>
      <m:oMath>
        <m:r>
          <w:rPr>
            <w:rFonts w:ascii="Cambria Math" w:hAnsi="Cambria Math"/>
            <w:szCs w:val="20"/>
            <w:lang w:val="en-GB" w:eastAsia="ja-JP"/>
          </w:rPr>
          <m:t>X</m:t>
        </m:r>
      </m:oMath>
      <w:r w:rsidRPr="00776982">
        <w:rPr>
          <w:szCs w:val="20"/>
          <w:lang w:val="en-GB" w:eastAsia="ja-JP"/>
        </w:rPr>
        <w:t xml:space="preserve"> slots when multi-slot PDCCH monitoring is in effect. Alternatively, of course, it is also possible to define new Rel-17 RRC fields to explicitly define these quantities in units of X-slots</w:t>
      </w:r>
      <w:r w:rsidR="0099688A">
        <w:rPr>
          <w:szCs w:val="20"/>
          <w:lang w:val="en-GB" w:eastAsia="ja-JP"/>
        </w:rPr>
        <w:t xml:space="preserve">, if </w:t>
      </w:r>
      <w:r w:rsidR="00865B61">
        <w:rPr>
          <w:szCs w:val="20"/>
          <w:lang w:val="en-GB" w:eastAsia="ja-JP"/>
        </w:rPr>
        <w:t xml:space="preserve">so </w:t>
      </w:r>
      <w:r w:rsidR="0099688A">
        <w:rPr>
          <w:szCs w:val="20"/>
          <w:lang w:val="en-GB" w:eastAsia="ja-JP"/>
        </w:rPr>
        <w:t>desired</w:t>
      </w:r>
      <w:r w:rsidRPr="00776982">
        <w:rPr>
          <w:szCs w:val="20"/>
          <w:lang w:val="en-GB" w:eastAsia="ja-JP"/>
        </w:rPr>
        <w:t>.</w:t>
      </w:r>
    </w:p>
    <w:p w14:paraId="084362D1" w14:textId="64577F7E" w:rsidR="00453D61" w:rsidRPr="00776982" w:rsidRDefault="00453D61" w:rsidP="00776982">
      <w:pPr>
        <w:rPr>
          <w:szCs w:val="20"/>
          <w:lang w:val="en-GB" w:eastAsia="ja-JP"/>
        </w:rPr>
      </w:pPr>
      <w:r w:rsidRPr="00776982">
        <w:rPr>
          <w:szCs w:val="20"/>
          <w:lang w:val="en-GB" w:eastAsia="ja-JP"/>
        </w:rPr>
        <w:t xml:space="preserve">With this, the UE determines a PDCCH monitoring occasion for search space </w:t>
      </w:r>
      <m:oMath>
        <m:r>
          <w:rPr>
            <w:rFonts w:ascii="Cambria Math" w:hAnsi="Cambria Math"/>
            <w:szCs w:val="20"/>
            <w:lang w:val="en-GB" w:eastAsia="ja-JP"/>
          </w:rPr>
          <m:t>s</m:t>
        </m:r>
      </m:oMath>
      <w:r w:rsidRPr="00776982">
        <w:rPr>
          <w:szCs w:val="20"/>
          <w:lang w:val="en-GB" w:eastAsia="ja-JP"/>
        </w:rPr>
        <w:t xml:space="preserve"> </w:t>
      </w:r>
      <w:r w:rsidR="00677DFB">
        <w:rPr>
          <w:szCs w:val="20"/>
          <w:lang w:val="en-GB" w:eastAsia="ja-JP"/>
        </w:rPr>
        <w:t>in</w:t>
      </w:r>
      <w:r w:rsidRPr="00776982">
        <w:rPr>
          <w:szCs w:val="20"/>
          <w:lang w:val="en-GB" w:eastAsia="ja-JP"/>
        </w:rPr>
        <w:t xml:space="preserve"> slot </w:t>
      </w:r>
      <w:r w:rsidR="0099688A">
        <w:rPr>
          <w:szCs w:val="20"/>
          <w:lang w:val="en-GB" w:eastAsia="ja-JP"/>
        </w:rPr>
        <w:t>with index</w:t>
      </w:r>
      <w:r w:rsidRPr="00776982">
        <w:rPr>
          <w:szCs w:val="20"/>
          <w:lang w:val="en-GB" w:eastAsia="ja-JP"/>
        </w:rPr>
        <w:t xml:space="preserve"> </w:t>
      </w:r>
      <m:oMath>
        <m:sSubSup>
          <m:sSubSupPr>
            <m:ctrlPr>
              <w:rPr>
                <w:rFonts w:ascii="Cambria Math" w:hAnsi="Cambria Math"/>
                <w:szCs w:val="20"/>
                <w:lang w:val="en-GB" w:eastAsia="ja-JP"/>
              </w:rPr>
            </m:ctrlPr>
          </m:sSubSupPr>
          <m:e>
            <m:r>
              <w:rPr>
                <w:rFonts w:ascii="Cambria Math" w:hAnsi="Cambria Math"/>
                <w:szCs w:val="20"/>
                <w:lang w:val="en-GB" w:eastAsia="ja-JP"/>
              </w:rPr>
              <m:t>n</m:t>
            </m:r>
          </m:e>
          <m:sub>
            <m:r>
              <w:rPr>
                <w:rFonts w:ascii="Cambria Math" w:hAnsi="Cambria Math"/>
                <w:szCs w:val="20"/>
                <w:lang w:val="en-GB" w:eastAsia="ja-JP"/>
              </w:rPr>
              <m:t>s</m:t>
            </m:r>
            <m:r>
              <m:rPr>
                <m:sty m:val="p"/>
              </m:rPr>
              <w:rPr>
                <w:rFonts w:ascii="Cambria Math" w:hAnsi="Cambria Math"/>
                <w:szCs w:val="20"/>
                <w:lang w:val="en-GB" w:eastAsia="ja-JP"/>
              </w:rPr>
              <m:t>,</m:t>
            </m:r>
            <m:r>
              <w:rPr>
                <w:rFonts w:ascii="Cambria Math" w:hAnsi="Cambria Math"/>
                <w:szCs w:val="20"/>
                <w:lang w:val="en-GB" w:eastAsia="ja-JP"/>
              </w:rPr>
              <m:t>f</m:t>
            </m:r>
          </m:sub>
          <m:sup>
            <m:r>
              <w:rPr>
                <w:rFonts w:ascii="Cambria Math" w:hAnsi="Cambria Math"/>
                <w:szCs w:val="20"/>
                <w:lang w:val="en-GB" w:eastAsia="ja-JP"/>
              </w:rPr>
              <m:t>μ</m:t>
            </m:r>
          </m:sup>
        </m:sSubSup>
      </m:oMath>
      <w:r w:rsidRPr="00776982">
        <w:rPr>
          <w:szCs w:val="20"/>
          <w:lang w:val="en-GB" w:eastAsia="ja-JP"/>
        </w:rPr>
        <w:t xml:space="preserve"> in a frame with </w:t>
      </w:r>
      <w:r w:rsidR="0099688A">
        <w:rPr>
          <w:szCs w:val="20"/>
          <w:lang w:val="en-GB" w:eastAsia="ja-JP"/>
        </w:rPr>
        <w:t>index</w:t>
      </w:r>
      <w:r w:rsidR="0099688A" w:rsidRPr="00776982">
        <w:rPr>
          <w:szCs w:val="20"/>
          <w:lang w:val="en-GB" w:eastAsia="ja-JP"/>
        </w:rPr>
        <w:t xml:space="preserve"> </w:t>
      </w:r>
      <m:oMath>
        <m:sSub>
          <m:sSubPr>
            <m:ctrlPr>
              <w:rPr>
                <w:rFonts w:ascii="Cambria Math" w:hAnsi="Cambria Math"/>
                <w:szCs w:val="20"/>
                <w:lang w:val="en-GB" w:eastAsia="ja-JP"/>
              </w:rPr>
            </m:ctrlPr>
          </m:sSubPr>
          <m:e>
            <m:r>
              <w:rPr>
                <w:rFonts w:ascii="Cambria Math" w:hAnsi="Cambria Math"/>
                <w:szCs w:val="20"/>
                <w:lang w:val="en-GB" w:eastAsia="ja-JP"/>
              </w:rPr>
              <m:t>n</m:t>
            </m:r>
          </m:e>
          <m:sub>
            <m:r>
              <w:rPr>
                <w:rFonts w:ascii="Cambria Math" w:hAnsi="Cambria Math"/>
                <w:szCs w:val="20"/>
                <w:lang w:val="en-GB" w:eastAsia="ja-JP"/>
              </w:rPr>
              <m:t>f</m:t>
            </m:r>
          </m:sub>
        </m:sSub>
      </m:oMath>
      <w:r w:rsidRPr="00776982">
        <w:rPr>
          <w:szCs w:val="20"/>
          <w:lang w:val="en-GB" w:eastAsia="ja-JP"/>
        </w:rPr>
        <w:t xml:space="preserve"> if </w:t>
      </w:r>
    </w:p>
    <w:p w14:paraId="1C3299EF" w14:textId="34493AD9" w:rsidR="00453D61" w:rsidRPr="00ED5ADA" w:rsidRDefault="00415413" w:rsidP="00453D61">
      <w:pPr>
        <w:rPr>
          <w:rFonts w:eastAsiaTheme="minorEastAsia"/>
          <w:szCs w:val="20"/>
          <w:lang w:val="en-GB" w:eastAsia="ja-JP"/>
        </w:rPr>
      </w:pPr>
      <m:oMathPara>
        <m:oMath>
          <m:d>
            <m:dPr>
              <m:ctrlPr>
                <w:rPr>
                  <w:rFonts w:ascii="Cambria Math" w:hAnsi="Cambria Math"/>
                  <w:szCs w:val="20"/>
                  <w:lang w:val="en-GB" w:eastAsia="ja-JP"/>
                </w:rPr>
              </m:ctrlPr>
            </m:dPr>
            <m:e>
              <m:sSub>
                <m:sSubPr>
                  <m:ctrlPr>
                    <w:rPr>
                      <w:rFonts w:ascii="Cambria Math" w:hAnsi="Cambria Math"/>
                      <w:szCs w:val="20"/>
                      <w:lang w:val="en-GB" w:eastAsia="ja-JP"/>
                    </w:rPr>
                  </m:ctrlPr>
                </m:sSubPr>
                <m:e>
                  <m:r>
                    <w:rPr>
                      <w:rFonts w:ascii="Cambria Math" w:hAnsi="Cambria Math"/>
                      <w:szCs w:val="20"/>
                      <w:lang w:val="en-GB" w:eastAsia="ja-JP"/>
                    </w:rPr>
                    <m:t>n</m:t>
                  </m:r>
                </m:e>
                <m:sub>
                  <m:r>
                    <w:rPr>
                      <w:rFonts w:ascii="Cambria Math" w:hAnsi="Cambria Math"/>
                      <w:szCs w:val="20"/>
                      <w:lang w:val="en-GB" w:eastAsia="ja-JP"/>
                    </w:rPr>
                    <m:t>f</m:t>
                  </m:r>
                </m:sub>
              </m:sSub>
              <m:r>
                <m:rPr>
                  <m:sty m:val="p"/>
                </m:rPr>
                <w:rPr>
                  <w:rFonts w:ascii="Cambria Math" w:hAnsi="Cambria Math"/>
                  <w:szCs w:val="20"/>
                  <w:lang w:val="en-GB" w:eastAsia="ja-JP"/>
                </w:rPr>
                <m:t>⋅</m:t>
              </m:r>
              <m:sSubSup>
                <m:sSubSupPr>
                  <m:ctrlPr>
                    <w:rPr>
                      <w:rFonts w:ascii="Cambria Math" w:hAnsi="Cambria Math"/>
                      <w:szCs w:val="20"/>
                      <w:lang w:val="en-GB" w:eastAsia="ja-JP"/>
                    </w:rPr>
                  </m:ctrlPr>
                </m:sSubSupPr>
                <m:e>
                  <m:r>
                    <w:rPr>
                      <w:rFonts w:ascii="Cambria Math" w:hAnsi="Cambria Math"/>
                      <w:szCs w:val="20"/>
                      <w:lang w:val="en-GB" w:eastAsia="ja-JP"/>
                    </w:rPr>
                    <m:t>N</m:t>
                  </m:r>
                </m:e>
                <m:sub>
                  <m:r>
                    <w:rPr>
                      <w:rFonts w:ascii="Cambria Math" w:hAnsi="Cambria Math"/>
                      <w:szCs w:val="20"/>
                      <w:lang w:val="en-GB" w:eastAsia="ja-JP"/>
                    </w:rPr>
                    <m:t>slot</m:t>
                  </m:r>
                  <m:r>
                    <m:rPr>
                      <m:sty m:val="p"/>
                    </m:rPr>
                    <w:rPr>
                      <w:rFonts w:ascii="Cambria Math" w:hAnsi="Cambria Math"/>
                      <w:szCs w:val="20"/>
                      <w:lang w:val="en-GB" w:eastAsia="ja-JP"/>
                    </w:rPr>
                    <m:t xml:space="preserve"> </m:t>
                  </m:r>
                </m:sub>
                <m:sup>
                  <m:r>
                    <w:rPr>
                      <w:rFonts w:ascii="Cambria Math" w:hAnsi="Cambria Math"/>
                      <w:szCs w:val="20"/>
                      <w:lang w:val="en-GB" w:eastAsia="ja-JP"/>
                    </w:rPr>
                    <m:t>frame</m:t>
                  </m:r>
                  <m:r>
                    <m:rPr>
                      <m:sty m:val="p"/>
                    </m:rPr>
                    <w:rPr>
                      <w:rFonts w:ascii="Cambria Math" w:hAnsi="Cambria Math"/>
                      <w:szCs w:val="20"/>
                      <w:lang w:val="en-GB" w:eastAsia="ja-JP"/>
                    </w:rPr>
                    <m:t xml:space="preserve">, </m:t>
                  </m:r>
                  <m:r>
                    <w:rPr>
                      <w:rFonts w:ascii="Cambria Math" w:hAnsi="Cambria Math"/>
                      <w:szCs w:val="20"/>
                      <w:lang w:val="en-GB" w:eastAsia="ja-JP"/>
                    </w:rPr>
                    <m:t>μ</m:t>
                  </m:r>
                </m:sup>
              </m:sSubSup>
              <m:r>
                <m:rPr>
                  <m:sty m:val="p"/>
                </m:rPr>
                <w:rPr>
                  <w:rFonts w:ascii="Cambria Math" w:hAnsi="Cambria Math"/>
                  <w:szCs w:val="20"/>
                  <w:lang w:val="en-GB" w:eastAsia="ja-JP"/>
                </w:rPr>
                <m:t xml:space="preserve">+ </m:t>
              </m:r>
              <m:sSubSup>
                <m:sSubSupPr>
                  <m:ctrlPr>
                    <w:rPr>
                      <w:rFonts w:ascii="Cambria Math" w:hAnsi="Cambria Math"/>
                      <w:szCs w:val="20"/>
                      <w:lang w:val="en-GB" w:eastAsia="ja-JP"/>
                    </w:rPr>
                  </m:ctrlPr>
                </m:sSubSupPr>
                <m:e>
                  <m:r>
                    <w:rPr>
                      <w:rFonts w:ascii="Cambria Math" w:hAnsi="Cambria Math"/>
                      <w:szCs w:val="20"/>
                      <w:lang w:val="en-GB" w:eastAsia="ja-JP"/>
                    </w:rPr>
                    <m:t>n</m:t>
                  </m:r>
                </m:e>
                <m:sub>
                  <m:r>
                    <w:rPr>
                      <w:rFonts w:ascii="Cambria Math" w:hAnsi="Cambria Math"/>
                      <w:szCs w:val="20"/>
                      <w:lang w:val="en-GB" w:eastAsia="ja-JP"/>
                    </w:rPr>
                    <m:t>s</m:t>
                  </m:r>
                  <m:r>
                    <m:rPr>
                      <m:sty m:val="p"/>
                    </m:rPr>
                    <w:rPr>
                      <w:rFonts w:ascii="Cambria Math" w:hAnsi="Cambria Math"/>
                      <w:szCs w:val="20"/>
                      <w:lang w:val="en-GB" w:eastAsia="ja-JP"/>
                    </w:rPr>
                    <m:t>,</m:t>
                  </m:r>
                  <m:r>
                    <w:rPr>
                      <w:rFonts w:ascii="Cambria Math" w:hAnsi="Cambria Math"/>
                      <w:szCs w:val="20"/>
                      <w:lang w:val="en-GB" w:eastAsia="ja-JP"/>
                    </w:rPr>
                    <m:t>f</m:t>
                  </m:r>
                  <m:r>
                    <m:rPr>
                      <m:sty m:val="p"/>
                    </m:rPr>
                    <w:rPr>
                      <w:rFonts w:ascii="Cambria Math" w:hAnsi="Cambria Math"/>
                      <w:szCs w:val="20"/>
                      <w:lang w:val="en-GB" w:eastAsia="ja-JP"/>
                    </w:rPr>
                    <m:t xml:space="preserve"> </m:t>
                  </m:r>
                </m:sub>
                <m:sup>
                  <m:r>
                    <w:rPr>
                      <w:rFonts w:ascii="Cambria Math" w:hAnsi="Cambria Math"/>
                      <w:szCs w:val="20"/>
                      <w:lang w:val="en-GB" w:eastAsia="ja-JP"/>
                    </w:rPr>
                    <m:t>μ</m:t>
                  </m:r>
                </m:sup>
              </m:sSub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0,X</m:t>
                  </m:r>
                </m:sub>
              </m:sSub>
              <m:r>
                <m:rPr>
                  <m:sty m:val="p"/>
                </m:rPr>
                <w:rPr>
                  <w:rFonts w:ascii="Cambria Math" w:hAnsi="Cambria Math"/>
                  <w:szCs w:val="20"/>
                  <w:lang w:val="en-GB" w:eastAsia="ja-JP"/>
                </w:rPr>
                <m:t xml:space="preserve">- </m:t>
              </m:r>
              <m:r>
                <w:rPr>
                  <w:rFonts w:ascii="Cambria Math" w:hAnsi="Cambria Math"/>
                  <w:szCs w:val="20"/>
                  <w:lang w:val="en-GB" w:eastAsia="ja-JP"/>
                </w:rPr>
                <m:t>X</m:t>
              </m:r>
              <m:sSub>
                <m:sSubPr>
                  <m:ctrlPr>
                    <w:rPr>
                      <w:rFonts w:ascii="Cambria Math" w:hAnsi="Cambria Math"/>
                      <w:szCs w:val="20"/>
                      <w:lang w:val="en-GB" w:eastAsia="ja-JP"/>
                    </w:rPr>
                  </m:ctrlPr>
                </m:sSubPr>
                <m:e>
                  <m:r>
                    <w:rPr>
                      <w:rFonts w:ascii="Cambria Math" w:hAnsi="Cambria Math"/>
                      <w:szCs w:val="20"/>
                      <w:lang w:val="en-GB" w:eastAsia="ja-JP"/>
                    </w:rPr>
                    <m:t>o</m:t>
                  </m:r>
                </m:e>
                <m:sub>
                  <m:r>
                    <w:rPr>
                      <w:rFonts w:ascii="Cambria Math" w:hAnsi="Cambria Math"/>
                      <w:szCs w:val="20"/>
                      <w:lang w:val="en-GB" w:eastAsia="ja-JP"/>
                    </w:rPr>
                    <m:t>s</m:t>
                  </m:r>
                </m:sub>
              </m:sSub>
            </m:e>
          </m:d>
          <m:r>
            <m:rPr>
              <m:sty m:val="p"/>
            </m:rPr>
            <w:rPr>
              <w:rFonts w:ascii="Cambria Math" w:hAnsi="Cambria Math"/>
              <w:szCs w:val="20"/>
              <w:lang w:val="en-GB" w:eastAsia="ja-JP"/>
            </w:rPr>
            <m:t xml:space="preserve"> mod </m:t>
          </m:r>
          <m:r>
            <w:rPr>
              <w:rFonts w:ascii="Cambria Math" w:hAnsi="Cambria Math"/>
              <w:szCs w:val="20"/>
              <w:lang w:val="en-GB" w:eastAsia="ja-JP"/>
            </w:rPr>
            <m:t>X</m:t>
          </m:r>
          <m:sSub>
            <m:sSubPr>
              <m:ctrlPr>
                <w:rPr>
                  <w:rFonts w:ascii="Cambria Math" w:hAnsi="Cambria Math"/>
                  <w:szCs w:val="20"/>
                  <w:lang w:val="en-GB" w:eastAsia="ja-JP"/>
                </w:rPr>
              </m:ctrlPr>
            </m:sSubPr>
            <m:e>
              <m:r>
                <w:rPr>
                  <w:rFonts w:ascii="Cambria Math" w:hAnsi="Cambria Math"/>
                  <w:szCs w:val="20"/>
                  <w:lang w:val="en-GB" w:eastAsia="ja-JP"/>
                </w:rPr>
                <m:t>k</m:t>
              </m:r>
            </m:e>
            <m:sub>
              <m:r>
                <w:rPr>
                  <w:rFonts w:ascii="Cambria Math" w:hAnsi="Cambria Math"/>
                  <w:szCs w:val="20"/>
                  <w:lang w:val="en-GB" w:eastAsia="ja-JP"/>
                </w:rPr>
                <m:t>s</m:t>
              </m:r>
            </m:sub>
          </m:sSub>
          <m:r>
            <m:rPr>
              <m:sty m:val="p"/>
            </m:rPr>
            <w:rPr>
              <w:rFonts w:ascii="Cambria Math" w:hAnsi="Cambria Math"/>
              <w:szCs w:val="20"/>
              <w:lang w:val="en-GB" w:eastAsia="ja-JP"/>
            </w:rPr>
            <m:t>=</m:t>
          </m:r>
          <m:r>
            <w:rPr>
              <w:rFonts w:ascii="Cambria Math" w:hAnsi="Cambria Math"/>
              <w:szCs w:val="20"/>
              <w:lang w:val="en-GB" w:eastAsia="ja-JP"/>
            </w:rPr>
            <m:t>Xd</m:t>
          </m:r>
          <m:r>
            <m:rPr>
              <m:sty m:val="p"/>
            </m:rPr>
            <w:rPr>
              <w:rFonts w:ascii="Cambria Math" w:hAnsi="Cambria Math"/>
              <w:szCs w:val="20"/>
              <w:lang w:val="en-GB" w:eastAsia="ja-JP"/>
            </w:rPr>
            <m:t xml:space="preserve">, for </m:t>
          </m:r>
          <m:r>
            <w:rPr>
              <w:rFonts w:ascii="Cambria Math" w:hAnsi="Cambria Math"/>
              <w:szCs w:val="20"/>
              <w:lang w:val="en-GB" w:eastAsia="ja-JP"/>
            </w:rPr>
            <m:t>d</m:t>
          </m:r>
          <m:r>
            <m:rPr>
              <m:sty m:val="p"/>
            </m:rPr>
            <w:rPr>
              <w:rFonts w:ascii="Cambria Math" w:hAnsi="Cambria Math"/>
              <w:szCs w:val="20"/>
              <w:lang w:val="en-GB" w:eastAsia="ja-JP"/>
            </w:rPr>
            <m:t xml:space="preserve">=0, 1,…, </m:t>
          </m:r>
          <m:sSub>
            <m:sSubPr>
              <m:ctrlPr>
                <w:rPr>
                  <w:rFonts w:ascii="Cambria Math" w:hAnsi="Cambria Math"/>
                  <w:szCs w:val="20"/>
                  <w:lang w:val="en-GB" w:eastAsia="ja-JP"/>
                </w:rPr>
              </m:ctrlPr>
            </m:sSubPr>
            <m:e>
              <m:r>
                <w:rPr>
                  <w:rFonts w:ascii="Cambria Math" w:hAnsi="Cambria Math"/>
                  <w:szCs w:val="20"/>
                  <w:lang w:val="en-GB" w:eastAsia="ja-JP"/>
                </w:rPr>
                <m:t>T</m:t>
              </m:r>
            </m:e>
            <m:sub>
              <m:r>
                <w:rPr>
                  <w:rFonts w:ascii="Cambria Math" w:hAnsi="Cambria Math"/>
                  <w:szCs w:val="20"/>
                  <w:lang w:val="en-GB" w:eastAsia="ja-JP"/>
                </w:rPr>
                <m:t>s</m:t>
              </m:r>
            </m:sub>
          </m:sSub>
          <m:r>
            <m:rPr>
              <m:sty m:val="p"/>
            </m:rPr>
            <w:rPr>
              <w:rFonts w:ascii="Cambria Math" w:hAnsi="Cambria Math"/>
              <w:szCs w:val="20"/>
              <w:lang w:val="en-GB" w:eastAsia="ja-JP"/>
            </w:rPr>
            <m:t>-1</m:t>
          </m:r>
          <m:r>
            <m:rPr>
              <m:sty m:val="p"/>
            </m:rPr>
            <w:rPr>
              <w:rFonts w:ascii="Cambria Math" w:hAnsi="Cambria Math"/>
              <w:szCs w:val="20"/>
              <w:lang w:val="en-GB" w:eastAsia="ja-JP"/>
            </w:rPr>
            <w:fldChar w:fldCharType="begin"/>
          </m:r>
          <m:r>
            <m:rPr>
              <m:sty m:val="p"/>
            </m:rPr>
            <w:rPr>
              <w:rFonts w:ascii="Cambria Math" w:hAnsi="Cambria Math"/>
              <w:szCs w:val="20"/>
              <w:lang w:val="en-GB" w:eastAsia="ja-JP"/>
            </w:rPr>
            <m:t xml:space="preserve"> QUOTE </m:t>
          </m:r>
          <m:d>
            <m:dPr>
              <m:ctrlPr>
                <w:rPr>
                  <w:rFonts w:ascii="Cambria Math" w:hAnsi="Cambria Math"/>
                  <w:szCs w:val="20"/>
                  <w:lang w:val="en-GB" w:eastAsia="ja-JP"/>
                </w:rPr>
              </m:ctrlPr>
            </m:dPr>
            <m:e>
              <m:sSub>
                <m:sSubPr>
                  <m:ctrlPr>
                    <w:rPr>
                      <w:rFonts w:ascii="Cambria Math" w:hAnsi="Cambria Math"/>
                      <w:szCs w:val="20"/>
                      <w:lang w:val="en-GB" w:eastAsia="ja-JP"/>
                    </w:rPr>
                  </m:ctrlPr>
                </m:sSubPr>
                <m:e>
                  <m:r>
                    <m:rPr>
                      <m:sty m:val="p"/>
                    </m:rPr>
                    <w:rPr>
                      <w:rFonts w:ascii="Cambria Math" w:hAnsi="Cambria Math"/>
                      <w:szCs w:val="20"/>
                      <w:lang w:val="en-GB" w:eastAsia="ja-JP"/>
                    </w:rPr>
                    <m:t>n</m:t>
                  </m:r>
                </m:e>
                <m:sub>
                  <m:r>
                    <m:rPr>
                      <m:sty m:val="p"/>
                    </m:rPr>
                    <w:rPr>
                      <w:rFonts w:ascii="Cambria Math" w:hAnsi="Cambria Math"/>
                      <w:szCs w:val="20"/>
                      <w:lang w:val="en-GB" w:eastAsia="ja-JP"/>
                    </w:rPr>
                    <m:t>f</m:t>
                  </m:r>
                </m:sub>
              </m:sSub>
              <m:sSubSup>
                <m:sSubSupPr>
                  <m:ctrlPr>
                    <w:rPr>
                      <w:rFonts w:ascii="Cambria Math" w:hAnsi="Cambria Math"/>
                      <w:szCs w:val="20"/>
                      <w:lang w:val="en-GB" w:eastAsia="ja-JP"/>
                    </w:rPr>
                  </m:ctrlPr>
                </m:sSubSupPr>
                <m:e>
                  <m:r>
                    <m:rPr>
                      <m:sty m:val="p"/>
                    </m:rPr>
                    <w:rPr>
                      <w:rFonts w:ascii="Cambria Math" w:hAnsi="Cambria Math"/>
                      <w:szCs w:val="20"/>
                      <w:lang w:val="en-GB" w:eastAsia="ja-JP"/>
                    </w:rPr>
                    <m:t>N</m:t>
                  </m:r>
                </m:e>
                <m:sub>
                  <m:r>
                    <m:rPr>
                      <m:sty m:val="p"/>
                    </m:rPr>
                    <w:rPr>
                      <w:rFonts w:ascii="Cambria Math" w:hAnsi="Cambria Math"/>
                      <w:szCs w:val="20"/>
                      <w:lang w:val="en-GB" w:eastAsia="ja-JP"/>
                    </w:rPr>
                    <m:t>slot</m:t>
                  </m:r>
                </m:sub>
                <m:sup>
                  <m:r>
                    <m:rPr>
                      <m:sty m:val="p"/>
                    </m:rPr>
                    <w:rPr>
                      <w:rFonts w:ascii="Cambria Math" w:hAnsi="Cambria Math"/>
                      <w:szCs w:val="20"/>
                      <w:lang w:val="en-GB" w:eastAsia="ja-JP"/>
                    </w:rPr>
                    <m:t>frame,μ</m:t>
                  </m:r>
                </m:sup>
              </m:sSubSup>
              <m:r>
                <m:rPr>
                  <m:sty m:val="p"/>
                </m:rPr>
                <w:rPr>
                  <w:rFonts w:ascii="Cambria Math" w:hAnsi="Cambria Math"/>
                  <w:szCs w:val="20"/>
                  <w:lang w:val="en-GB" w:eastAsia="ja-JP"/>
                </w:rPr>
                <m:t>+</m:t>
              </m:r>
              <m:sSubSup>
                <m:sSubSupPr>
                  <m:ctrlPr>
                    <w:rPr>
                      <w:rFonts w:ascii="Cambria Math" w:hAnsi="Cambria Math"/>
                      <w:szCs w:val="20"/>
                      <w:lang w:val="en-GB" w:eastAsia="ja-JP"/>
                    </w:rPr>
                  </m:ctrlPr>
                </m:sSubSupPr>
                <m:e>
                  <m:r>
                    <m:rPr>
                      <m:sty m:val="p"/>
                    </m:rPr>
                    <w:rPr>
                      <w:rFonts w:ascii="Cambria Math" w:hAnsi="Cambria Math"/>
                      <w:szCs w:val="20"/>
                      <w:lang w:val="en-GB" w:eastAsia="ja-JP"/>
                    </w:rPr>
                    <m:t>n</m:t>
                  </m:r>
                </m:e>
                <m:sub>
                  <m:r>
                    <m:rPr>
                      <m:sty m:val="p"/>
                    </m:rPr>
                    <w:rPr>
                      <w:rFonts w:ascii="Cambria Math" w:hAnsi="Cambria Math"/>
                      <w:szCs w:val="20"/>
                      <w:lang w:val="en-GB" w:eastAsia="ja-JP"/>
                    </w:rPr>
                    <m:t>s,f</m:t>
                  </m:r>
                </m:sub>
                <m:sup>
                  <m:r>
                    <m:rPr>
                      <m:sty m:val="p"/>
                    </m:rPr>
                    <w:rPr>
                      <w:rFonts w:ascii="Cambria Math" w:hAnsi="Cambria Math"/>
                      <w:szCs w:val="20"/>
                      <w:lang w:val="en-GB" w:eastAsia="ja-JP"/>
                    </w:rPr>
                    <m:t>μ</m:t>
                  </m:r>
                </m:sup>
              </m:sSubSup>
              <m:r>
                <m:rPr>
                  <m:sty m:val="p"/>
                </m:rPr>
                <w:rPr>
                  <w:rFonts w:ascii="Cambria Math" w:hAnsi="Cambria Math"/>
                  <w:szCs w:val="20"/>
                  <w:lang w:val="en-GB" w:eastAsia="ja-JP"/>
                </w:rPr>
                <m:t>-</m:t>
              </m:r>
              <m:sSub>
                <m:sSubPr>
                  <m:ctrlPr>
                    <w:rPr>
                      <w:rFonts w:ascii="Cambria Math" w:hAnsi="Cambria Math"/>
                      <w:szCs w:val="20"/>
                      <w:lang w:val="en-GB" w:eastAsia="ja-JP"/>
                    </w:rPr>
                  </m:ctrlPr>
                </m:sSubPr>
                <m:e>
                  <m:r>
                    <m:rPr>
                      <m:sty m:val="p"/>
                    </m:rPr>
                    <w:rPr>
                      <w:rFonts w:ascii="Cambria Math" w:hAnsi="Cambria Math"/>
                      <w:szCs w:val="20"/>
                      <w:lang w:val="en-GB" w:eastAsia="ja-JP"/>
                    </w:rPr>
                    <m:t>o</m:t>
                  </m:r>
                </m:e>
                <m:sub>
                  <m:r>
                    <m:rPr>
                      <m:sty m:val="p"/>
                    </m:rPr>
                    <w:rPr>
                      <w:rFonts w:ascii="Cambria Math" w:hAnsi="Cambria Math"/>
                      <w:szCs w:val="20"/>
                      <w:lang w:val="en-GB" w:eastAsia="ja-JP"/>
                    </w:rPr>
                    <m:t>p,s</m:t>
                  </m:r>
                </m:sub>
              </m:sSub>
            </m:e>
          </m:d>
          <m:r>
            <m:rPr>
              <m:sty m:val="p"/>
            </m:rPr>
            <w:rPr>
              <w:rFonts w:ascii="Cambria Math" w:hAnsi="Cambria Math"/>
              <w:szCs w:val="20"/>
              <w:lang w:val="en-GB" w:eastAsia="ja-JP"/>
            </w:rPr>
            <m:t xml:space="preserve">mod </m:t>
          </m:r>
          <m:sSub>
            <m:sSubPr>
              <m:ctrlPr>
                <w:rPr>
                  <w:rFonts w:ascii="Cambria Math" w:hAnsi="Cambria Math"/>
                  <w:szCs w:val="20"/>
                  <w:lang w:val="en-GB" w:eastAsia="ja-JP"/>
                </w:rPr>
              </m:ctrlPr>
            </m:sSubPr>
            <m:e>
              <m:r>
                <m:rPr>
                  <m:sty m:val="p"/>
                </m:rPr>
                <w:rPr>
                  <w:rFonts w:ascii="Cambria Math" w:hAnsi="Cambria Math"/>
                  <w:szCs w:val="20"/>
                  <w:lang w:val="en-GB" w:eastAsia="ja-JP"/>
                </w:rPr>
                <m:t>k</m:t>
              </m:r>
            </m:e>
            <m:sub>
              <m:r>
                <m:rPr>
                  <m:sty m:val="p"/>
                </m:rPr>
                <w:rPr>
                  <w:rFonts w:ascii="Cambria Math" w:hAnsi="Cambria Math"/>
                  <w:szCs w:val="20"/>
                  <w:lang w:val="en-GB" w:eastAsia="ja-JP"/>
                </w:rPr>
                <m:t>p,s</m:t>
              </m:r>
            </m:sub>
          </m:sSub>
          <m:r>
            <m:rPr>
              <m:sty m:val="p"/>
            </m:rPr>
            <w:rPr>
              <w:rFonts w:ascii="Cambria Math" w:hAnsi="Cambria Math"/>
              <w:szCs w:val="20"/>
              <w:lang w:val="en-GB" w:eastAsia="ja-JP"/>
            </w:rPr>
            <m:t xml:space="preserve">=0 </m:t>
          </m:r>
          <m:r>
            <m:rPr>
              <m:sty m:val="p"/>
            </m:rPr>
            <w:rPr>
              <w:rFonts w:ascii="Cambria Math" w:hAnsi="Cambria Math"/>
              <w:szCs w:val="20"/>
              <w:lang w:val="en-GB" w:eastAsia="ja-JP"/>
            </w:rPr>
            <w:fldChar w:fldCharType="end"/>
          </m:r>
          <m:r>
            <m:rPr>
              <m:sty m:val="p"/>
            </m:rPr>
            <w:rPr>
              <w:rFonts w:ascii="Cambria Math" w:hAnsi="Cambria Math"/>
              <w:szCs w:val="20"/>
              <w:lang w:val="en-GB" w:eastAsia="ja-JP"/>
            </w:rPr>
            <m:t>.</m:t>
          </m:r>
        </m:oMath>
      </m:oMathPara>
    </w:p>
    <w:p w14:paraId="78636B0C" w14:textId="5BF6C4D5" w:rsidR="00ED5ADA" w:rsidRDefault="004E6FA0" w:rsidP="00453D61">
      <w:pPr>
        <w:rPr>
          <w:rFonts w:eastAsia="Calibri" w:cs="Arial"/>
          <w:szCs w:val="20"/>
          <w:lang w:val="en-GB" w:eastAsia="ja-JP"/>
        </w:rPr>
      </w:pPr>
      <w:r>
        <w:rPr>
          <w:rFonts w:cs="Arial"/>
          <w:szCs w:val="20"/>
          <w:lang w:val="en-GB" w:eastAsia="ja-JP"/>
        </w:rPr>
        <w:t>For a slot carrying monitoring occasions for the search space, t</w:t>
      </w:r>
      <w:r w:rsidRPr="00C006C8">
        <w:rPr>
          <w:rFonts w:cs="Arial"/>
          <w:szCs w:val="20"/>
          <w:lang w:val="en-GB" w:eastAsia="ja-JP"/>
        </w:rPr>
        <w:t xml:space="preserve">he exact </w:t>
      </w:r>
      <w:r w:rsidR="00F8072D">
        <w:rPr>
          <w:rFonts w:cs="Arial"/>
          <w:szCs w:val="20"/>
          <w:lang w:val="en-GB" w:eastAsia="ja-JP"/>
        </w:rPr>
        <w:t xml:space="preserve">monitoring </w:t>
      </w:r>
      <w:r>
        <w:rPr>
          <w:rFonts w:cs="Arial"/>
          <w:szCs w:val="20"/>
          <w:lang w:val="en-GB" w:eastAsia="ja-JP"/>
        </w:rPr>
        <w:t xml:space="preserve">symbols within the </w:t>
      </w:r>
      <w:r w:rsidRPr="00C006C8">
        <w:rPr>
          <w:rFonts w:cs="Arial"/>
          <w:szCs w:val="20"/>
          <w:lang w:val="en-GB" w:eastAsia="ja-JP"/>
        </w:rPr>
        <w:t xml:space="preserve">slot </w:t>
      </w:r>
      <w:r>
        <w:rPr>
          <w:rFonts w:cs="Arial"/>
          <w:szCs w:val="20"/>
          <w:lang w:val="en-GB" w:eastAsia="ja-JP"/>
        </w:rPr>
        <w:t xml:space="preserve">are determined according to the current specs based on the </w:t>
      </w:r>
      <w:r w:rsidR="003B4766">
        <w:rPr>
          <w:rFonts w:cs="Arial"/>
          <w:szCs w:val="20"/>
          <w:lang w:val="en-GB" w:eastAsia="ja-JP"/>
        </w:rPr>
        <w:t>existing</w:t>
      </w:r>
      <w:r>
        <w:rPr>
          <w:rFonts w:cs="Arial"/>
          <w:szCs w:val="20"/>
          <w:lang w:val="en-GB" w:eastAsia="ja-JP"/>
        </w:rPr>
        <w:t xml:space="preserve"> </w:t>
      </w:r>
      <w:proofErr w:type="spellStart"/>
      <w:r w:rsidRPr="00E52AAC">
        <w:rPr>
          <w:rFonts w:eastAsia="Calibri" w:cs="Arial"/>
          <w:i/>
          <w:iCs/>
          <w:szCs w:val="20"/>
          <w:lang w:val="en-GB" w:eastAsia="ja-JP"/>
        </w:rPr>
        <w:t>monitoringSymbolsWithinSlot</w:t>
      </w:r>
      <w:proofErr w:type="spellEnd"/>
      <w:r w:rsidR="00054FA0">
        <w:rPr>
          <w:rFonts w:eastAsia="Calibri" w:cs="Arial"/>
          <w:szCs w:val="20"/>
          <w:lang w:val="en-GB" w:eastAsia="ja-JP"/>
        </w:rPr>
        <w:t xml:space="preserve"> field.</w:t>
      </w:r>
    </w:p>
    <w:p w14:paraId="21AC99ED" w14:textId="77777777" w:rsidR="00197F74" w:rsidRPr="004E6FA0" w:rsidRDefault="00197F74" w:rsidP="00453D61">
      <w:pPr>
        <w:rPr>
          <w:szCs w:val="20"/>
          <w:lang w:val="en-GB" w:eastAsia="ja-JP"/>
        </w:rPr>
      </w:pPr>
    </w:p>
    <w:p w14:paraId="7533F62C" w14:textId="0BC2E13D" w:rsidR="00197F74" w:rsidRDefault="00197F74" w:rsidP="00197F74">
      <w:pPr>
        <w:pStyle w:val="Proposal"/>
        <w:overflowPunct w:val="0"/>
        <w:autoSpaceDE w:val="0"/>
        <w:autoSpaceDN w:val="0"/>
        <w:adjustRightInd w:val="0"/>
        <w:spacing w:after="0" w:line="240" w:lineRule="auto"/>
        <w:textAlignment w:val="baseline"/>
        <w:rPr>
          <w:rFonts w:eastAsiaTheme="minorEastAsia"/>
        </w:rPr>
      </w:pPr>
      <w:bookmarkStart w:id="23" w:name="_Toc87014497"/>
      <w:r>
        <w:rPr>
          <w:rFonts w:cs="Arial"/>
          <w:szCs w:val="20"/>
          <w:lang w:eastAsia="x-none"/>
        </w:rPr>
        <w:t xml:space="preserve">For multi-slot PDCCH monitoring with 480/960 kHz SCS, the network </w:t>
      </w:r>
      <w:r w:rsidR="00A60782">
        <w:rPr>
          <w:rFonts w:cs="Arial"/>
          <w:szCs w:val="20"/>
          <w:lang w:eastAsia="x-none"/>
        </w:rPr>
        <w:t>configures</w:t>
      </w:r>
      <w:r w:rsidR="000020B9">
        <w:rPr>
          <w:rFonts w:cs="Arial"/>
          <w:szCs w:val="20"/>
          <w:lang w:eastAsia="x-none"/>
        </w:rPr>
        <w:t xml:space="preserve"> a search space with at least</w:t>
      </w:r>
      <w:r>
        <w:rPr>
          <w:rFonts w:eastAsiaTheme="minorEastAsia"/>
        </w:rPr>
        <w:t>:</w:t>
      </w:r>
      <w:bookmarkEnd w:id="23"/>
    </w:p>
    <w:p w14:paraId="6577DDE8" w14:textId="77777777" w:rsidR="00197F74" w:rsidRPr="00285D7A" w:rsidRDefault="00197F74" w:rsidP="00197F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24" w:name="_Toc87014498"/>
      <w:r w:rsidRPr="00A9596C">
        <w:rPr>
          <w:rFonts w:eastAsia="Calibri" w:cs="Arial"/>
          <w:szCs w:val="20"/>
          <w:lang w:val="en-GB" w:eastAsia="ja-JP"/>
        </w:rPr>
        <w:t>periodicity in terms of X-slot groups</w:t>
      </w:r>
      <w:r>
        <w:rPr>
          <w:rFonts w:eastAsia="Calibri" w:cs="Arial"/>
          <w:szCs w:val="20"/>
          <w:lang w:val="en-GB" w:eastAsia="ja-JP"/>
        </w:rPr>
        <w:t>,</w:t>
      </w:r>
      <w:bookmarkEnd w:id="24"/>
    </w:p>
    <w:p w14:paraId="42890B16" w14:textId="77777777" w:rsidR="00197F74" w:rsidRPr="00285D7A" w:rsidRDefault="00197F74" w:rsidP="00197F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25" w:name="_Toc87014499"/>
      <w:r w:rsidRPr="00A9596C">
        <w:rPr>
          <w:rFonts w:eastAsia="Calibri" w:cs="Arial"/>
          <w:szCs w:val="20"/>
          <w:lang w:val="en-GB" w:eastAsia="ja-JP"/>
        </w:rPr>
        <w:t>offset in terms of X-slot groups within the period</w:t>
      </w:r>
      <w:r>
        <w:rPr>
          <w:rFonts w:eastAsia="Calibri" w:cs="Arial"/>
          <w:szCs w:val="20"/>
          <w:lang w:val="en-GB" w:eastAsia="ja-JP"/>
        </w:rPr>
        <w:t>,</w:t>
      </w:r>
      <w:bookmarkEnd w:id="25"/>
    </w:p>
    <w:p w14:paraId="1E7B23DC" w14:textId="77777777" w:rsidR="00197F74" w:rsidRPr="00F27BA4" w:rsidRDefault="00197F74" w:rsidP="00197F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26" w:name="_Toc87014500"/>
      <w:r w:rsidRPr="00A9596C">
        <w:rPr>
          <w:rFonts w:eastAsia="Calibri" w:cs="Arial"/>
          <w:szCs w:val="20"/>
          <w:lang w:val="en-GB" w:eastAsia="ja-JP"/>
        </w:rPr>
        <w:t>duration in terms of X-slot groups within the period</w:t>
      </w:r>
      <w:r>
        <w:rPr>
          <w:rFonts w:eastAsia="Calibri" w:cs="Arial"/>
          <w:szCs w:val="20"/>
          <w:lang w:val="en-GB" w:eastAsia="ja-JP"/>
        </w:rPr>
        <w:t>, and</w:t>
      </w:r>
      <w:bookmarkEnd w:id="26"/>
    </w:p>
    <w:p w14:paraId="751B72BB" w14:textId="77777777" w:rsidR="00197F74" w:rsidRPr="00527D78" w:rsidRDefault="00197F74" w:rsidP="00197F74">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27" w:name="_Toc87014501"/>
      <w:proofErr w:type="spellStart"/>
      <w:r w:rsidRPr="00E52AAC">
        <w:rPr>
          <w:rFonts w:eastAsia="Calibri" w:cs="Arial"/>
          <w:i/>
          <w:iCs/>
          <w:szCs w:val="20"/>
          <w:lang w:val="en-GB" w:eastAsia="ja-JP"/>
        </w:rPr>
        <w:t>monitoringSymbolsWithinSlot</w:t>
      </w:r>
      <w:proofErr w:type="spellEnd"/>
      <w:r>
        <w:rPr>
          <w:lang w:val="en-GB" w:eastAsia="ja-JP"/>
        </w:rPr>
        <w:t>.</w:t>
      </w:r>
      <w:bookmarkEnd w:id="27"/>
    </w:p>
    <w:p w14:paraId="390D5889" w14:textId="2A438798" w:rsidR="00197F74" w:rsidRDefault="00197F74" w:rsidP="00197F74">
      <w:pPr>
        <w:pStyle w:val="Proposal"/>
        <w:overflowPunct w:val="0"/>
        <w:autoSpaceDE w:val="0"/>
        <w:autoSpaceDN w:val="0"/>
        <w:adjustRightInd w:val="0"/>
        <w:spacing w:after="0" w:line="240" w:lineRule="auto"/>
        <w:textAlignment w:val="baseline"/>
        <w:rPr>
          <w:rFonts w:eastAsiaTheme="minorEastAsia"/>
        </w:rPr>
      </w:pPr>
      <w:bookmarkStart w:id="28" w:name="_Toc87014502"/>
      <w:r>
        <w:t xml:space="preserve">For </w:t>
      </w:r>
      <w:r w:rsidRPr="00007A27">
        <w:rPr>
          <w:rFonts w:eastAsiaTheme="minorEastAsia"/>
        </w:rPr>
        <w:t>operation with 480/960 kHz SCS</w:t>
      </w:r>
      <w:r>
        <w:rPr>
          <w:rFonts w:eastAsiaTheme="minorEastAsia"/>
        </w:rPr>
        <w:t xml:space="preserve"> </w:t>
      </w:r>
      <w:r w:rsidRPr="00007A27">
        <w:rPr>
          <w:lang w:val="en-GB" w:eastAsia="ja-JP"/>
        </w:rPr>
        <w:t>multi-slot PDCCH monitoring with slot group size of X, existing RRC search space configuration fields</w:t>
      </w:r>
      <w:bookmarkEnd w:id="28"/>
    </w:p>
    <w:p w14:paraId="500A4920" w14:textId="77777777" w:rsidR="00197F74" w:rsidRPr="00F27BA4" w:rsidRDefault="00197F74" w:rsidP="00197F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29" w:name="_Toc87014503"/>
      <w:proofErr w:type="spellStart"/>
      <w:r w:rsidRPr="00007A27">
        <w:rPr>
          <w:rFonts w:cs="Arial"/>
          <w:i/>
          <w:iCs/>
          <w:szCs w:val="20"/>
          <w:lang w:val="en-GB" w:eastAsia="ja-JP"/>
        </w:rPr>
        <w:t>monitoringSlotPeriodicityAndOffset</w:t>
      </w:r>
      <w:proofErr w:type="spellEnd"/>
      <w:r w:rsidRPr="00007A27">
        <w:rPr>
          <w:rFonts w:cs="Arial"/>
          <w:szCs w:val="20"/>
          <w:lang w:val="en-GB" w:eastAsia="ja-JP"/>
        </w:rPr>
        <w:t xml:space="preserve"> is re-interpreted as providing the </w:t>
      </w:r>
      <w:r w:rsidRPr="00007A27">
        <w:rPr>
          <w:rFonts w:eastAsia="Calibri" w:cs="Arial"/>
          <w:szCs w:val="20"/>
          <w:lang w:val="en-GB" w:eastAsia="ja-JP"/>
        </w:rPr>
        <w:t xml:space="preserve">periodicity in terms of X-slot groups and offset in terms of X-slot groups within the </w:t>
      </w:r>
      <w:proofErr w:type="gramStart"/>
      <w:r w:rsidRPr="00007A27">
        <w:rPr>
          <w:rFonts w:eastAsia="Calibri" w:cs="Arial"/>
          <w:szCs w:val="20"/>
          <w:lang w:val="en-GB" w:eastAsia="ja-JP"/>
        </w:rPr>
        <w:t>period;</w:t>
      </w:r>
      <w:bookmarkEnd w:id="29"/>
      <w:proofErr w:type="gramEnd"/>
      <w:r>
        <w:rPr>
          <w:rFonts w:eastAsia="Calibri" w:cs="Arial"/>
          <w:szCs w:val="20"/>
          <w:lang w:val="en-GB" w:eastAsia="ja-JP"/>
        </w:rPr>
        <w:t xml:space="preserve"> </w:t>
      </w:r>
    </w:p>
    <w:p w14:paraId="35A423CC" w14:textId="19AF1139" w:rsidR="00197F74" w:rsidRPr="00527D78" w:rsidRDefault="00197F74" w:rsidP="00197F74">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30" w:name="_Toc87014504"/>
      <w:r w:rsidRPr="00007A27">
        <w:rPr>
          <w:rFonts w:eastAsia="Calibri" w:cs="Arial"/>
          <w:i/>
          <w:iCs/>
          <w:szCs w:val="20"/>
          <w:lang w:val="en-GB" w:eastAsia="ja-JP"/>
        </w:rPr>
        <w:t>duration</w:t>
      </w:r>
      <w:r w:rsidRPr="00007A27">
        <w:rPr>
          <w:rFonts w:eastAsia="Calibri" w:cs="Arial"/>
          <w:szCs w:val="20"/>
          <w:lang w:val="en-GB" w:eastAsia="ja-JP"/>
        </w:rPr>
        <w:t xml:space="preserve"> is </w:t>
      </w:r>
      <w:r w:rsidRPr="00007A27">
        <w:rPr>
          <w:rFonts w:cs="Arial"/>
          <w:szCs w:val="20"/>
          <w:lang w:val="en-GB" w:eastAsia="ja-JP"/>
        </w:rPr>
        <w:t xml:space="preserve">re-interpreted as providing the </w:t>
      </w:r>
      <w:r w:rsidR="0099688A">
        <w:rPr>
          <w:rFonts w:eastAsia="Calibri" w:cs="Arial"/>
          <w:szCs w:val="20"/>
          <w:lang w:val="en-GB" w:eastAsia="ja-JP"/>
        </w:rPr>
        <w:t>duration</w:t>
      </w:r>
      <w:r w:rsidR="0099688A" w:rsidRPr="00007A27">
        <w:rPr>
          <w:rFonts w:eastAsia="Calibri" w:cs="Arial"/>
          <w:szCs w:val="20"/>
          <w:lang w:val="en-GB" w:eastAsia="ja-JP"/>
        </w:rPr>
        <w:t xml:space="preserve"> </w:t>
      </w:r>
      <w:r w:rsidRPr="00007A27">
        <w:rPr>
          <w:rFonts w:eastAsia="Calibri" w:cs="Arial"/>
          <w:szCs w:val="20"/>
          <w:lang w:val="en-GB" w:eastAsia="ja-JP"/>
        </w:rPr>
        <w:t>in terms of X-slot groups within the period</w:t>
      </w:r>
      <w:r>
        <w:rPr>
          <w:lang w:val="en-GB" w:eastAsia="ja-JP"/>
        </w:rPr>
        <w:t>.</w:t>
      </w:r>
      <w:bookmarkEnd w:id="30"/>
    </w:p>
    <w:p w14:paraId="4A116112" w14:textId="5707A17E" w:rsidR="00596921" w:rsidRDefault="00596921" w:rsidP="00596921">
      <w:pPr>
        <w:pStyle w:val="Proposal"/>
        <w:overflowPunct w:val="0"/>
        <w:autoSpaceDE w:val="0"/>
        <w:autoSpaceDN w:val="0"/>
        <w:adjustRightInd w:val="0"/>
        <w:spacing w:after="0" w:line="240" w:lineRule="auto"/>
        <w:textAlignment w:val="baseline"/>
        <w:rPr>
          <w:rFonts w:eastAsiaTheme="minorEastAsia"/>
        </w:rPr>
      </w:pPr>
      <w:bookmarkStart w:id="31" w:name="_Toc87014505"/>
      <w:r w:rsidRPr="009D31AB">
        <w:t xml:space="preserve">For </w:t>
      </w:r>
      <w:r w:rsidRPr="009D31AB">
        <w:rPr>
          <w:rFonts w:eastAsiaTheme="minorEastAsia"/>
        </w:rPr>
        <w:t>operation with 480/960 kHz SCS</w:t>
      </w:r>
      <w:r w:rsidRPr="009D31AB">
        <w:t xml:space="preserve"> </w:t>
      </w:r>
      <w:r w:rsidRPr="009D31AB">
        <w:rPr>
          <w:lang w:val="en-GB" w:eastAsia="ja-JP"/>
        </w:rPr>
        <w:t xml:space="preserve">multi-slot PDCCH monitoring with slot group size of X, </w:t>
      </w:r>
      <w:r w:rsidRPr="009D31AB">
        <w:rPr>
          <w:rFonts w:cs="Arial"/>
          <w:szCs w:val="20"/>
          <w:lang w:val="en-GB" w:eastAsia="ja-JP"/>
        </w:rPr>
        <w:t xml:space="preserve">the UE determines </w:t>
      </w:r>
      <w:r w:rsidR="002839EE">
        <w:rPr>
          <w:rFonts w:cs="Arial"/>
          <w:szCs w:val="20"/>
          <w:lang w:val="en-GB" w:eastAsia="ja-JP"/>
        </w:rPr>
        <w:t xml:space="preserve">that </w:t>
      </w:r>
      <w:r w:rsidRPr="009D31AB">
        <w:rPr>
          <w:rFonts w:cs="Arial"/>
          <w:szCs w:val="20"/>
          <w:lang w:val="en-GB" w:eastAsia="ja-JP"/>
        </w:rPr>
        <w:t xml:space="preserve">a PDCCH monitoring occasion for search space </w:t>
      </w:r>
      <m:oMath>
        <m:r>
          <m:rPr>
            <m:sty m:val="bi"/>
          </m:rPr>
          <w:rPr>
            <w:rFonts w:ascii="Cambria Math" w:hAnsi="Cambria Math" w:cs="Arial"/>
            <w:szCs w:val="20"/>
            <w:lang w:val="en-GB" w:eastAsia="ja-JP"/>
          </w:rPr>
          <m:t>s</m:t>
        </m:r>
      </m:oMath>
      <w:r w:rsidRPr="009D31AB">
        <w:rPr>
          <w:rFonts w:eastAsiaTheme="minorEastAsia" w:cs="Arial"/>
          <w:szCs w:val="20"/>
          <w:lang w:val="en-GB" w:eastAsia="ja-JP"/>
        </w:rPr>
        <w:t xml:space="preserve"> </w:t>
      </w:r>
      <w:r>
        <w:rPr>
          <w:rFonts w:eastAsiaTheme="minorEastAsia" w:cs="Arial"/>
          <w:szCs w:val="20"/>
          <w:lang w:val="en-GB" w:eastAsia="ja-JP"/>
        </w:rPr>
        <w:t xml:space="preserve">in </w:t>
      </w:r>
      <w:r w:rsidR="00AA44AD">
        <w:rPr>
          <w:rFonts w:eastAsiaTheme="minorEastAsia" w:cs="Arial"/>
          <w:szCs w:val="20"/>
          <w:lang w:val="en-GB" w:eastAsia="ja-JP"/>
        </w:rPr>
        <w:t xml:space="preserve">Group (1) </w:t>
      </w:r>
      <w:r w:rsidR="002839EE">
        <w:rPr>
          <w:rFonts w:eastAsiaTheme="minorEastAsia" w:cs="Arial"/>
          <w:szCs w:val="20"/>
          <w:lang w:val="en-GB" w:eastAsia="ja-JP"/>
        </w:rPr>
        <w:t xml:space="preserve">is </w:t>
      </w:r>
      <w:r w:rsidRPr="009D31AB">
        <w:rPr>
          <w:rFonts w:cs="Arial"/>
          <w:szCs w:val="20"/>
          <w:lang w:val="en-GB" w:eastAsia="ja-JP"/>
        </w:rPr>
        <w:t xml:space="preserve">in slot </w:t>
      </w:r>
      <w:r w:rsidR="0099688A">
        <w:rPr>
          <w:rFonts w:cs="Arial"/>
          <w:szCs w:val="20"/>
          <w:lang w:val="en-GB" w:eastAsia="ja-JP"/>
        </w:rPr>
        <w:t>with index</w:t>
      </w:r>
      <w:r w:rsidRPr="009D31AB">
        <w:rPr>
          <w:rFonts w:cs="Arial"/>
          <w:szCs w:val="20"/>
          <w:lang w:val="en-GB" w:eastAsia="ja-JP"/>
        </w:rPr>
        <w:t xml:space="preserve">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Pr="009D31AB">
        <w:rPr>
          <w:rFonts w:cs="Arial"/>
          <w:szCs w:val="20"/>
          <w:lang w:val="en-GB" w:eastAsia="ja-JP"/>
        </w:rPr>
        <w:t xml:space="preserve"> in a frame with </w:t>
      </w:r>
      <w:r w:rsidR="0099688A">
        <w:rPr>
          <w:rFonts w:cs="Arial"/>
          <w:szCs w:val="20"/>
          <w:lang w:val="en-GB" w:eastAsia="ja-JP"/>
        </w:rPr>
        <w:t>index</w:t>
      </w:r>
      <w:r w:rsidR="0099688A" w:rsidRPr="009D31AB">
        <w:rPr>
          <w:rFonts w:cs="Arial"/>
          <w:szCs w:val="20"/>
          <w:lang w:val="en-GB" w:eastAsia="ja-JP"/>
        </w:rPr>
        <w:t xml:space="preserve">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Pr="009D31AB">
        <w:rPr>
          <w:rFonts w:cs="Arial"/>
          <w:szCs w:val="20"/>
          <w:lang w:val="en-GB" w:eastAsia="ja-JP"/>
        </w:rPr>
        <w:t xml:space="preserve"> if</w:t>
      </w:r>
      <w:bookmarkEnd w:id="31"/>
    </w:p>
    <w:bookmarkStart w:id="32" w:name="_Toc87014506"/>
    <w:p w14:paraId="17C5C51C" w14:textId="55FCE7BB" w:rsidR="00596921" w:rsidRDefault="00415413" w:rsidP="00596921">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 X</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m:t>
          </m:r>
          <m:sSub>
            <m:sSubPr>
              <m:ctrlPr>
                <w:rPr>
                  <w:rFonts w:ascii="Cambria Math" w:hAnsi="Cambria Math"/>
                  <w:i/>
                  <w:lang w:val="en-GB" w:eastAsia="ja-JP"/>
                </w:rPr>
              </m:ctrlPr>
            </m:sSubPr>
            <m:e>
              <m:r>
                <m:rPr>
                  <m:sty m:val="bi"/>
                </m:rPr>
                <w:rPr>
                  <w:rFonts w:ascii="Cambria Math" w:hAnsi="Cambria Math"/>
                  <w:lang w:val="en-GB" w:eastAsia="ja-JP"/>
                </w:rPr>
                <m:t>k</m:t>
              </m:r>
            </m:e>
            <m:sub>
              <m:r>
                <m:rPr>
                  <m:sty m:val="bi"/>
                </m:rPr>
                <w:rPr>
                  <w:rFonts w:ascii="Cambria Math" w:hAnsi="Cambria Math"/>
                  <w:lang w:val="en-GB" w:eastAsia="ja-JP"/>
                </w:rPr>
                <m:t>s</m:t>
              </m:r>
            </m:sub>
          </m:sSub>
          <m:r>
            <m:rPr>
              <m:sty m:val="bi"/>
            </m:rPr>
            <w:rPr>
              <w:rFonts w:ascii="Cambria Math" w:hAnsi="Cambria Math"/>
              <w:lang w:val="en-GB" w:eastAsia="ja-JP"/>
            </w:rPr>
            <m:t xml:space="preserve">=Xd, </m:t>
          </m:r>
          <m:r>
            <m:rPr>
              <m:sty m:val="b"/>
            </m:rPr>
            <w:rPr>
              <w:rFonts w:ascii="Cambria Math" w:hAnsi="Cambria Math"/>
              <w:lang w:val="en-GB" w:eastAsia="ja-JP"/>
            </w:rPr>
            <m:t>for</m:t>
          </m:r>
          <m:r>
            <m:rPr>
              <m:sty m:val="bi"/>
            </m:rPr>
            <w:rPr>
              <w:rFonts w:ascii="Cambria Math" w:hAnsi="Cambria Math"/>
              <w:lang w:val="en-GB" w:eastAsia="ja-JP"/>
            </w:rPr>
            <m:t xml:space="preserve"> d=0, 1,…, </m:t>
          </m:r>
          <m:sSub>
            <m:sSubPr>
              <m:ctrlPr>
                <w:rPr>
                  <w:rFonts w:ascii="Cambria Math" w:hAnsi="Cambria Math"/>
                  <w:i/>
                  <w:lang w:val="en-GB" w:eastAsia="ja-JP"/>
                </w:rPr>
              </m:ctrlPr>
            </m:sSubPr>
            <m:e>
              <m:r>
                <m:rPr>
                  <m:sty m:val="bi"/>
                </m:rPr>
                <w:rPr>
                  <w:rFonts w:ascii="Cambria Math" w:hAnsi="Cambria Math"/>
                  <w:lang w:val="en-GB" w:eastAsia="ja-JP"/>
                </w:rPr>
                <m:t>T</m:t>
              </m:r>
            </m:e>
            <m:sub>
              <m:r>
                <m:rPr>
                  <m:sty m:val="bi"/>
                </m:rPr>
                <w:rPr>
                  <w:rFonts w:ascii="Cambria Math" w:hAnsi="Cambria Math"/>
                  <w:lang w:val="en-GB" w:eastAsia="ja-JP"/>
                </w:rPr>
                <m:t>s</m:t>
              </m:r>
            </m:sub>
          </m:sSub>
          <m:r>
            <m:rPr>
              <m:sty m:val="bi"/>
            </m:rPr>
            <w:rPr>
              <w:rFonts w:ascii="Cambria Math" w:hAnsi="Cambria Math"/>
              <w:lang w:val="en-GB" w:eastAsia="ja-JP"/>
            </w:rPr>
            <m:t>-1,</m:t>
          </m:r>
          <w:bookmarkEnd w:id="32"/>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19278749" w14:textId="0054A750" w:rsidR="00596921" w:rsidRPr="00F27BA4" w:rsidRDefault="00596921" w:rsidP="00596921">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eastAsiaTheme="minorEastAsia"/>
        </w:rPr>
      </w:pPr>
      <w:bookmarkStart w:id="33" w:name="_Toc87014507"/>
      <w:r w:rsidRPr="009D31AB">
        <w:rPr>
          <w:rFonts w:eastAsiaTheme="minorEastAsia" w:cs="Arial"/>
          <w:lang w:val="en-GB" w:eastAsia="ja-JP"/>
        </w:rPr>
        <w:t xml:space="preserve">where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k</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o</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and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T</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are the configured </w:t>
      </w:r>
      <w:r w:rsidRPr="009D31AB">
        <w:rPr>
          <w:rFonts w:eastAsia="Calibri" w:cs="Arial"/>
          <w:szCs w:val="20"/>
          <w:lang w:val="en-GB" w:eastAsia="ja-JP"/>
        </w:rPr>
        <w:t xml:space="preserve">periodicity, offset and duration of the search space </w:t>
      </w:r>
      <m:oMath>
        <m:r>
          <m:rPr>
            <m:sty m:val="bi"/>
          </m:rPr>
          <w:rPr>
            <w:rFonts w:ascii="Cambria Math" w:eastAsia="Calibri" w:hAnsi="Cambria Math" w:cs="Arial"/>
            <w:szCs w:val="20"/>
            <w:lang w:val="en-GB" w:eastAsia="ja-JP"/>
          </w:rPr>
          <m:t>s</m:t>
        </m:r>
      </m:oMath>
      <w:r w:rsidRPr="009D31AB">
        <w:rPr>
          <w:rFonts w:eastAsia="Calibri" w:cs="Arial"/>
          <w:szCs w:val="20"/>
          <w:lang w:val="en-GB" w:eastAsia="ja-JP"/>
        </w:rPr>
        <w:t xml:space="preserve"> in terms of X-slot groups</w:t>
      </w:r>
      <w:r w:rsidR="00C8053A">
        <w:rPr>
          <w:rFonts w:eastAsia="Calibri" w:cs="Arial"/>
          <w:szCs w:val="20"/>
          <w:lang w:val="en-GB" w:eastAsia="ja-JP"/>
        </w:rPr>
        <w:t>,</w:t>
      </w:r>
      <w:r w:rsidR="003C3970">
        <w:rPr>
          <w:rFonts w:eastAsia="Calibri" w:cs="Arial"/>
          <w:szCs w:val="20"/>
          <w:lang w:val="en-GB" w:eastAsia="ja-JP"/>
        </w:rPr>
        <w:t xml:space="preserve"> and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sidR="003C3970">
        <w:rPr>
          <w:rFonts w:eastAsia="Calibri" w:cs="Arial"/>
          <w:lang w:val="en-GB" w:eastAsia="ja-JP"/>
        </w:rPr>
        <w:t xml:space="preserve"> is </w:t>
      </w:r>
      <w:r w:rsidR="00647205">
        <w:rPr>
          <w:rFonts w:eastAsia="Calibri" w:cs="Arial"/>
          <w:lang w:val="en-GB" w:eastAsia="ja-JP"/>
        </w:rPr>
        <w:t xml:space="preserve">the </w:t>
      </w:r>
      <w:r w:rsidR="003C3970">
        <w:rPr>
          <w:rFonts w:eastAsia="Calibri" w:cs="Arial"/>
          <w:lang w:val="en-GB" w:eastAsia="ja-JP"/>
        </w:rPr>
        <w:t>slot group grid offset</w:t>
      </w:r>
      <w:r w:rsidR="003D7724">
        <w:rPr>
          <w:rFonts w:eastAsia="Calibri" w:cs="Arial"/>
          <w:lang w:val="en-GB" w:eastAsia="ja-JP"/>
        </w:rPr>
        <w:t>.</w:t>
      </w:r>
      <w:bookmarkEnd w:id="33"/>
      <w:r>
        <w:rPr>
          <w:rFonts w:eastAsia="Calibri" w:cs="Arial"/>
          <w:szCs w:val="20"/>
          <w:lang w:val="en-GB" w:eastAsia="ja-JP"/>
        </w:rPr>
        <w:t xml:space="preserve"> </w:t>
      </w:r>
    </w:p>
    <w:p w14:paraId="08734B03" w14:textId="77777777" w:rsidR="00596921" w:rsidRDefault="00596921" w:rsidP="00206866">
      <w:pPr>
        <w:rPr>
          <w:lang w:val="en-GB" w:eastAsia="ja-JP"/>
        </w:rPr>
      </w:pPr>
    </w:p>
    <w:p w14:paraId="00F8D612" w14:textId="42EF7D41" w:rsidR="000A5554" w:rsidRDefault="000A5554" w:rsidP="000A5554">
      <w:r>
        <w:rPr>
          <w:lang w:val="en-GB" w:eastAsia="ja-JP"/>
        </w:rPr>
        <w:t xml:space="preserve">Further discussion on the selection of the number of slot(s) within a X-slot group for monitoring Group (1) search spaces is provided in </w:t>
      </w:r>
      <w:r w:rsidR="00FF7338">
        <w:rPr>
          <w:lang w:val="en-GB" w:eastAsia="ja-JP"/>
        </w:rPr>
        <w:t>the next s</w:t>
      </w:r>
      <w:r>
        <w:rPr>
          <w:lang w:val="en-GB" w:eastAsia="ja-JP"/>
        </w:rPr>
        <w:t xml:space="preserve">ection. To avoid </w:t>
      </w:r>
      <w:r>
        <w:t>PDCCH load congestion, it is necessary for the network to distribute Group (</w:t>
      </w:r>
      <w:r w:rsidR="000B3474">
        <w:t>1</w:t>
      </w:r>
      <w:r>
        <w:t>) search spaces for different UEs across the temporal space contained in the Y</w:t>
      </w:r>
      <w:r w:rsidRPr="00501383">
        <w:rPr>
          <w:vertAlign w:val="subscript"/>
        </w:rPr>
        <w:t>group1</w:t>
      </w:r>
      <w:r>
        <w:t xml:space="preserve"> slot(s) within a X-slot group. This can be achieved by either</w:t>
      </w:r>
    </w:p>
    <w:p w14:paraId="65392476" w14:textId="737F519F" w:rsidR="000A5554" w:rsidRDefault="000A5554" w:rsidP="000A5554">
      <w:pPr>
        <w:pStyle w:val="StyleListParagraph-BulletsLista12"/>
        <w:numPr>
          <w:ilvl w:val="0"/>
          <w:numId w:val="26"/>
        </w:numPr>
      </w:pPr>
      <w:r>
        <w:t>Support</w:t>
      </w:r>
      <w:r>
        <w:rPr>
          <w:lang w:val="en-US"/>
        </w:rPr>
        <w:t xml:space="preserve"> intra-slot PDCCH monitoring capability with </w:t>
      </w:r>
      <w:r>
        <w:t>Y</w:t>
      </w:r>
      <w:r w:rsidRPr="00501383">
        <w:rPr>
          <w:vertAlign w:val="subscript"/>
        </w:rPr>
        <w:t>group1</w:t>
      </w:r>
      <w:r>
        <w:rPr>
          <w:lang w:val="en-US"/>
        </w:rPr>
        <w:t xml:space="preserve"> = 1</w:t>
      </w:r>
      <w:r w:rsidR="0099688A">
        <w:rPr>
          <w:lang w:val="en-US"/>
        </w:rPr>
        <w:t xml:space="preserve"> as per Rel-15 FG 3-5 (any OFDM symbols of a slot)</w:t>
      </w:r>
      <w:r>
        <w:rPr>
          <w:lang w:val="en-US"/>
        </w:rPr>
        <w:t>; or</w:t>
      </w:r>
    </w:p>
    <w:p w14:paraId="5C38BE59" w14:textId="2717D7C0" w:rsidR="000A5554" w:rsidRDefault="000A5554" w:rsidP="000A5554">
      <w:pPr>
        <w:pStyle w:val="StyleListParagraph-BulletsLista12"/>
        <w:numPr>
          <w:ilvl w:val="0"/>
          <w:numId w:val="26"/>
        </w:numPr>
      </w:pPr>
      <w:r>
        <w:rPr>
          <w:lang w:val="en-US"/>
        </w:rPr>
        <w:t xml:space="preserve">Support </w:t>
      </w:r>
      <w:r>
        <w:t>Y</w:t>
      </w:r>
      <w:r w:rsidRPr="00501383">
        <w:rPr>
          <w:vertAlign w:val="subscript"/>
        </w:rPr>
        <w:t>group1</w:t>
      </w:r>
      <w:r>
        <w:rPr>
          <w:lang w:val="en-US"/>
        </w:rPr>
        <w:t xml:space="preserve"> </w:t>
      </w:r>
      <w:r>
        <w:rPr>
          <w:rFonts w:ascii="Cambria Math" w:hAnsi="Cambria Math"/>
          <w:lang w:val="en-US"/>
        </w:rPr>
        <w:t xml:space="preserve">≥ </w:t>
      </w:r>
      <w:r>
        <w:rPr>
          <w:lang w:val="en-US"/>
        </w:rPr>
        <w:t>2</w:t>
      </w:r>
      <w:r w:rsidR="00F6777C">
        <w:rPr>
          <w:lang w:val="en-US"/>
        </w:rPr>
        <w:t xml:space="preserve"> with intra-slot PDCCH monitoring </w:t>
      </w:r>
      <w:r w:rsidR="0099688A">
        <w:rPr>
          <w:lang w:val="en-US"/>
        </w:rPr>
        <w:t>according as per Rel-15 FG 3-1 (first 3 OFDM symbols of a slot)</w:t>
      </w:r>
      <w:r>
        <w:rPr>
          <w:lang w:val="en-US"/>
        </w:rPr>
        <w:t>.</w:t>
      </w:r>
    </w:p>
    <w:p w14:paraId="07EB4ED4" w14:textId="58BCA83B" w:rsidR="000A5554" w:rsidRDefault="0099688A" w:rsidP="000A5554">
      <w:pPr>
        <w:rPr>
          <w:lang w:val="en-GB" w:eastAsia="ja-JP"/>
        </w:rPr>
      </w:pPr>
      <w:r>
        <w:rPr>
          <w:lang w:val="en-GB" w:eastAsia="ja-JP"/>
        </w:rPr>
        <w:lastRenderedPageBreak/>
        <w:t>If RAN1 agrees on</w:t>
      </w:r>
      <w:r w:rsidR="000A5554">
        <w:rPr>
          <w:lang w:val="en-GB" w:eastAsia="ja-JP"/>
        </w:rPr>
        <w:t xml:space="preserve"> </w:t>
      </w:r>
      <w:r w:rsidR="000A5554">
        <w:t>Y</w:t>
      </w:r>
      <w:r w:rsidR="000A5554" w:rsidRPr="00501383">
        <w:rPr>
          <w:vertAlign w:val="subscript"/>
        </w:rPr>
        <w:t>group1</w:t>
      </w:r>
      <w:r w:rsidR="000A5554">
        <w:t xml:space="preserve"> </w:t>
      </w:r>
      <w:r w:rsidR="000A5554">
        <w:rPr>
          <w:rFonts w:ascii="Cambria Math" w:hAnsi="Cambria Math"/>
        </w:rPr>
        <w:t xml:space="preserve">≥ </w:t>
      </w:r>
      <w:r w:rsidR="000A5554">
        <w:t>2</w:t>
      </w:r>
      <w:r w:rsidR="000A5554">
        <w:rPr>
          <w:lang w:val="en-GB" w:eastAsia="ja-JP"/>
        </w:rPr>
        <w:t xml:space="preserve">, a new RRC field </w:t>
      </w:r>
      <w:proofErr w:type="spellStart"/>
      <w:r w:rsidR="000A5554" w:rsidRPr="0050192E">
        <w:rPr>
          <w:rFonts w:cs="Arial"/>
          <w:i/>
          <w:iCs/>
          <w:szCs w:val="20"/>
          <w:lang w:val="en-GB" w:eastAsia="ja-JP"/>
        </w:rPr>
        <w:t>extraSlotOffsetWithinSlotGroup</w:t>
      </w:r>
      <w:proofErr w:type="spellEnd"/>
      <w:r w:rsidR="000A5554">
        <w:rPr>
          <w:lang w:val="en-GB" w:eastAsia="ja-JP"/>
        </w:rPr>
        <w:t xml:space="preserve"> can be introduced to configure additional slot offset within a slot group,</w:t>
      </w:r>
      <w:r w:rsidR="00482830">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s,X</m:t>
            </m:r>
          </m:sub>
        </m:sSub>
        <m:r>
          <w:rPr>
            <w:rFonts w:ascii="Cambria Math" w:eastAsiaTheme="minorEastAsia" w:hAnsi="Cambria Math"/>
            <w:lang w:val="en-GB" w:eastAsia="ja-JP"/>
          </w:rPr>
          <m:t>∈{1,2,…,X/2-1}</m:t>
        </m:r>
      </m:oMath>
      <w:r w:rsidR="000A5554">
        <w:rPr>
          <w:lang w:val="en-GB" w:eastAsia="ja-JP"/>
        </w:rPr>
        <w:t>.</w:t>
      </w:r>
      <w:r w:rsidR="000A5554" w:rsidRPr="007D383D">
        <w:rPr>
          <w:rFonts w:cs="Arial"/>
          <w:szCs w:val="20"/>
          <w:lang w:val="en-GB" w:eastAsia="ja-JP"/>
        </w:rPr>
        <w:t xml:space="preserve"> </w:t>
      </w:r>
      <w:r w:rsidR="000A5554" w:rsidRPr="00A9596C">
        <w:rPr>
          <w:rFonts w:cs="Arial"/>
          <w:szCs w:val="20"/>
          <w:lang w:val="en-GB" w:eastAsia="ja-JP"/>
        </w:rPr>
        <w:t>With this, the UE determines a PDCCH monitoring occasion</w:t>
      </w:r>
      <w:r w:rsidR="000A5554">
        <w:rPr>
          <w:rFonts w:cs="Arial"/>
          <w:szCs w:val="20"/>
          <w:lang w:val="en-GB" w:eastAsia="ja-JP"/>
        </w:rPr>
        <w:t xml:space="preserve"> for search space </w:t>
      </w:r>
      <m:oMath>
        <m:r>
          <w:rPr>
            <w:rFonts w:ascii="Cambria Math" w:hAnsi="Cambria Math" w:cs="Arial"/>
            <w:szCs w:val="20"/>
            <w:lang w:val="en-GB" w:eastAsia="ja-JP"/>
          </w:rPr>
          <m:t>s</m:t>
        </m:r>
      </m:oMath>
      <w:r w:rsidR="000A5554" w:rsidRPr="00A9596C">
        <w:rPr>
          <w:rFonts w:cs="Arial"/>
          <w:szCs w:val="20"/>
          <w:lang w:val="en-GB" w:eastAsia="ja-JP"/>
        </w:rPr>
        <w:t xml:space="preserve"> </w:t>
      </w:r>
      <w:r w:rsidR="000A5554">
        <w:rPr>
          <w:rFonts w:cs="Arial"/>
          <w:szCs w:val="20"/>
          <w:lang w:val="en-GB" w:eastAsia="ja-JP"/>
        </w:rPr>
        <w:t xml:space="preserve">in </w:t>
      </w:r>
      <w:r w:rsidR="000A5554" w:rsidRPr="00A9596C">
        <w:rPr>
          <w:rFonts w:cs="Arial"/>
          <w:szCs w:val="20"/>
          <w:lang w:val="en-GB" w:eastAsia="ja-JP"/>
        </w:rPr>
        <w:t xml:space="preserve">slot </w:t>
      </w:r>
      <m:oMath>
        <m:sSubSup>
          <m:sSubSupPr>
            <m:ctrlPr>
              <w:rPr>
                <w:rFonts w:ascii="Cambria Math" w:hAnsi="Cambria Math" w:cs="Arial"/>
                <w:szCs w:val="20"/>
                <w:lang w:val="en-GB" w:eastAsia="ja-JP"/>
              </w:rPr>
            </m:ctrlPr>
          </m:sSubSupPr>
          <m:e>
            <m:r>
              <w:rPr>
                <w:rFonts w:ascii="Cambria Math" w:hAnsi="Cambria Math" w:cs="Arial"/>
                <w:szCs w:val="20"/>
                <w:lang w:val="en-GB" w:eastAsia="ja-JP"/>
              </w:rPr>
              <m:t>n</m:t>
            </m:r>
          </m:e>
          <m:sub>
            <m:r>
              <w:rPr>
                <w:rFonts w:ascii="Cambria Math" w:hAnsi="Cambria Math" w:cs="Arial"/>
                <w:szCs w:val="20"/>
                <w:lang w:val="en-GB" w:eastAsia="ja-JP"/>
              </w:rPr>
              <m:t>s</m:t>
            </m:r>
            <m:r>
              <m:rPr>
                <m:sty m:val="p"/>
              </m:rPr>
              <w:rPr>
                <w:rFonts w:ascii="Cambria Math" w:hAnsi="Cambria Math" w:cs="Arial"/>
                <w:szCs w:val="20"/>
                <w:lang w:val="en-GB" w:eastAsia="ja-JP"/>
              </w:rPr>
              <m:t>,</m:t>
            </m:r>
            <m:r>
              <w:rPr>
                <w:rFonts w:ascii="Cambria Math" w:hAnsi="Cambria Math" w:cs="Arial"/>
                <w:szCs w:val="20"/>
                <w:lang w:val="en-GB" w:eastAsia="ja-JP"/>
              </w:rPr>
              <m:t>f</m:t>
            </m:r>
          </m:sub>
          <m:sup>
            <m:r>
              <w:rPr>
                <w:rFonts w:ascii="Cambria Math" w:hAnsi="Cambria Math" w:cs="Arial"/>
                <w:szCs w:val="20"/>
                <w:lang w:val="en-GB" w:eastAsia="ja-JP"/>
              </w:rPr>
              <m:t>μ</m:t>
            </m:r>
          </m:sup>
        </m:sSubSup>
      </m:oMath>
      <w:r w:rsidR="000A5554" w:rsidRPr="00A9596C">
        <w:rPr>
          <w:rFonts w:cs="Arial"/>
          <w:szCs w:val="20"/>
          <w:lang w:val="en-GB" w:eastAsia="ja-JP"/>
        </w:rPr>
        <w:t xml:space="preserve"> in a frame with number </w:t>
      </w:r>
      <m:oMath>
        <m:sSub>
          <m:sSubPr>
            <m:ctrlPr>
              <w:rPr>
                <w:rFonts w:ascii="Cambria Math" w:hAnsi="Cambria Math" w:cs="Arial"/>
                <w:szCs w:val="20"/>
                <w:lang w:val="en-GB" w:eastAsia="ja-JP"/>
              </w:rPr>
            </m:ctrlPr>
          </m:sSubPr>
          <m:e>
            <m:r>
              <w:rPr>
                <w:rFonts w:ascii="Cambria Math" w:hAnsi="Cambria Math" w:cs="Arial"/>
                <w:szCs w:val="20"/>
                <w:lang w:val="en-GB" w:eastAsia="ja-JP"/>
              </w:rPr>
              <m:t>n</m:t>
            </m:r>
          </m:e>
          <m:sub>
            <m:r>
              <w:rPr>
                <w:rFonts w:ascii="Cambria Math" w:hAnsi="Cambria Math" w:cs="Arial"/>
                <w:szCs w:val="20"/>
                <w:lang w:val="en-GB" w:eastAsia="ja-JP"/>
              </w:rPr>
              <m:t>f</m:t>
            </m:r>
          </m:sub>
        </m:sSub>
      </m:oMath>
      <w:r w:rsidR="000A5554" w:rsidRPr="00A9596C">
        <w:rPr>
          <w:rFonts w:cs="Arial"/>
          <w:szCs w:val="20"/>
          <w:lang w:val="en-GB" w:eastAsia="ja-JP"/>
        </w:rPr>
        <w:t xml:space="preserve"> if</w:t>
      </w:r>
    </w:p>
    <w:p w14:paraId="693BBD1B" w14:textId="0D1D201B" w:rsidR="000A5554" w:rsidRPr="00844C0B" w:rsidRDefault="00415413" w:rsidP="000A5554">
      <w:pPr>
        <w:rPr>
          <w:i/>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f</m:t>
                  </m:r>
                </m:sub>
              </m:sSub>
              <m:r>
                <w:rPr>
                  <w:rFonts w:ascii="Cambria Math" w:hAnsi="Cambria Math"/>
                  <w:lang w:val="en-GB" w:eastAsia="ja-JP"/>
                </w:rPr>
                <m:t>⋅</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slot </m:t>
                  </m:r>
                </m:sub>
                <m:sup>
                  <m:r>
                    <w:rPr>
                      <w:rFonts w:ascii="Cambria Math" w:hAnsi="Cambria Math"/>
                      <w:lang w:val="en-GB" w:eastAsia="ja-JP"/>
                    </w:rPr>
                    <m:t>frame, μ</m:t>
                  </m:r>
                </m:sup>
              </m:sSubSup>
              <m:r>
                <w:rPr>
                  <w:rFonts w:ascii="Cambria Math" w:hAnsi="Cambria Math"/>
                  <w:lang w:val="en-GB" w:eastAsia="ja-JP"/>
                </w:rPr>
                <m:t xml:space="preserve">+ </m:t>
              </m:r>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 xml:space="preserve">s,f </m:t>
                  </m:r>
                </m:sub>
                <m:sup>
                  <m:r>
                    <w:rPr>
                      <w:rFonts w:ascii="Cambria Math" w:hAnsi="Cambria Math"/>
                      <w:lang w:val="en-GB" w:eastAsia="ja-JP"/>
                    </w:rPr>
                    <m:t>μ</m:t>
                  </m:r>
                </m:sup>
              </m:sSub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0,X</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s,X</m:t>
                  </m:r>
                </m:sub>
              </m:sSub>
              <m:r>
                <w:rPr>
                  <w:rFonts w:ascii="Cambria Math" w:hAnsi="Cambria Math"/>
                  <w:lang w:val="en-GB" w:eastAsia="ja-JP"/>
                </w:rPr>
                <m:t>- X</m:t>
              </m:r>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s</m:t>
                  </m:r>
                </m:sub>
              </m:sSub>
            </m:e>
          </m:d>
          <m:r>
            <w:rPr>
              <w:rFonts w:ascii="Cambria Math" w:hAnsi="Cambria Math"/>
              <w:lang w:val="en-GB" w:eastAsia="ja-JP"/>
            </w:rPr>
            <m:t xml:space="preserve"> </m:t>
          </m:r>
          <m:r>
            <m:rPr>
              <m:sty m:val="p"/>
            </m:rPr>
            <w:rPr>
              <w:rFonts w:ascii="Cambria Math" w:hAnsi="Cambria Math"/>
              <w:lang w:val="en-GB" w:eastAsia="ja-JP"/>
            </w:rPr>
            <m:t>mod</m:t>
          </m:r>
          <m:r>
            <w:rPr>
              <w:rFonts w:ascii="Cambria Math" w:hAnsi="Cambria Math"/>
              <w:lang w:val="en-GB" w:eastAsia="ja-JP"/>
            </w:rPr>
            <m:t xml:space="preserve"> X</m:t>
          </m:r>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s</m:t>
              </m:r>
            </m:sub>
          </m:sSub>
          <m:r>
            <w:rPr>
              <w:rFonts w:ascii="Cambria Math" w:hAnsi="Cambria Math"/>
              <w:lang w:val="en-GB" w:eastAsia="ja-JP"/>
            </w:rPr>
            <m:t xml:space="preserve">=Xd, </m:t>
          </m:r>
          <m:r>
            <m:rPr>
              <m:sty m:val="p"/>
            </m:rPr>
            <w:rPr>
              <w:rFonts w:ascii="Cambria Math" w:hAnsi="Cambria Math"/>
              <w:lang w:val="en-GB" w:eastAsia="ja-JP"/>
            </w:rPr>
            <m:t>for</m:t>
          </m:r>
          <m:r>
            <w:rPr>
              <w:rFonts w:ascii="Cambria Math" w:hAnsi="Cambria Math"/>
              <w:lang w:val="en-GB" w:eastAsia="ja-JP"/>
            </w:rPr>
            <m:t xml:space="preserve"> d=0, 1,…, </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s</m:t>
              </m:r>
            </m:sub>
          </m:sSub>
          <m:r>
            <w:rPr>
              <w:rFonts w:ascii="Cambria Math" w:hAnsi="Cambria Math"/>
              <w:lang w:val="en-GB" w:eastAsia="ja-JP"/>
            </w:rPr>
            <m:t>-1</m:t>
          </m:r>
          <m:r>
            <w:rPr>
              <w:rFonts w:ascii="Cambria Math" w:hAnsi="Cambria Math"/>
              <w:i/>
              <w:lang w:val="en-GB" w:eastAsia="ja-JP"/>
            </w:rPr>
            <w:fldChar w:fldCharType="begin"/>
          </m:r>
          <m:r>
            <m:rPr>
              <m:sty m:val="p"/>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p"/>
                    </m:rPr>
                    <w:rPr>
                      <w:rFonts w:ascii="Cambria Math" w:hAnsi="Cambria Math"/>
                      <w:lang w:val="en-GB" w:eastAsia="ja-JP"/>
                    </w:rPr>
                    <m:t>n</m:t>
                  </m:r>
                </m:e>
                <m:sub>
                  <m:r>
                    <m:rPr>
                      <m:sty m:val="p"/>
                    </m:rPr>
                    <w:rPr>
                      <w:rFonts w:ascii="Cambria Math" w:hAnsi="Cambria Math"/>
                      <w:lang w:val="en-GB" w:eastAsia="ja-JP"/>
                    </w:rPr>
                    <m:t>f</m:t>
                  </m:r>
                </m:sub>
              </m:sSub>
              <m:sSubSup>
                <m:sSubSupPr>
                  <m:ctrlPr>
                    <w:rPr>
                      <w:rFonts w:ascii="Cambria Math" w:hAnsi="Cambria Math"/>
                      <w:i/>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slot</m:t>
                  </m:r>
                </m:sub>
                <m:sup>
                  <m:r>
                    <m:rPr>
                      <m:sty m:val="p"/>
                    </m:rPr>
                    <w:rPr>
                      <w:rFonts w:ascii="Cambria Math" w:hAnsi="Cambria Math"/>
                      <w:lang w:val="en-GB" w:eastAsia="ja-JP"/>
                    </w:rPr>
                    <m:t>frame,μ</m:t>
                  </m:r>
                </m:sup>
              </m:sSubSup>
              <m:r>
                <m:rPr>
                  <m:sty m:val="p"/>
                </m:rPr>
                <w:rPr>
                  <w:rFonts w:ascii="Cambria Math" w:hAnsi="Cambria Math"/>
                  <w:lang w:val="en-GB" w:eastAsia="ja-JP"/>
                </w:rPr>
                <m:t>+</m:t>
              </m:r>
              <m:sSubSup>
                <m:sSubSupPr>
                  <m:ctrlPr>
                    <w:rPr>
                      <w:rFonts w:ascii="Cambria Math" w:hAnsi="Cambria Math"/>
                      <w:i/>
                      <w:lang w:val="en-GB" w:eastAsia="ja-JP"/>
                    </w:rPr>
                  </m:ctrlPr>
                </m:sSubSupPr>
                <m:e>
                  <m:r>
                    <m:rPr>
                      <m:sty m:val="p"/>
                    </m:rPr>
                    <w:rPr>
                      <w:rFonts w:ascii="Cambria Math" w:hAnsi="Cambria Math"/>
                      <w:lang w:val="en-GB" w:eastAsia="ja-JP"/>
                    </w:rPr>
                    <m:t>n</m:t>
                  </m:r>
                </m:e>
                <m:sub>
                  <m:r>
                    <m:rPr>
                      <m:sty m:val="p"/>
                    </m:rPr>
                    <w:rPr>
                      <w:rFonts w:ascii="Cambria Math" w:hAnsi="Cambria Math"/>
                      <w:lang w:val="en-GB" w:eastAsia="ja-JP"/>
                    </w:rPr>
                    <m:t>s,f</m:t>
                  </m:r>
                </m:sub>
                <m:sup>
                  <m:r>
                    <m:rPr>
                      <m:sty m:val="p"/>
                    </m:rPr>
                    <w:rPr>
                      <w:rFonts w:ascii="Cambria Math" w:hAnsi="Cambria Math"/>
                      <w:lang w:val="en-GB" w:eastAsia="ja-JP"/>
                    </w:rPr>
                    <m:t>μ</m:t>
                  </m:r>
                </m:sup>
              </m:sSubSup>
              <m:r>
                <m:rPr>
                  <m:sty m:val="p"/>
                </m:rPr>
                <w:rPr>
                  <w:rFonts w:ascii="Cambria Math" w:hAnsi="Cambria Math"/>
                  <w:lang w:val="en-GB" w:eastAsia="ja-JP"/>
                </w:rPr>
                <m:t>-</m:t>
              </m:r>
              <m:sSub>
                <m:sSubPr>
                  <m:ctrlPr>
                    <w:rPr>
                      <w:rFonts w:ascii="Cambria Math" w:hAnsi="Cambria Math"/>
                      <w:i/>
                      <w:lang w:val="en-GB" w:eastAsia="ja-JP"/>
                    </w:rPr>
                  </m:ctrlPr>
                </m:sSubPr>
                <m:e>
                  <m:r>
                    <m:rPr>
                      <m:sty m:val="p"/>
                    </m:rPr>
                    <w:rPr>
                      <w:rFonts w:ascii="Cambria Math" w:hAnsi="Cambria Math"/>
                      <w:lang w:val="en-GB" w:eastAsia="ja-JP"/>
                    </w:rPr>
                    <m:t>o</m:t>
                  </m:r>
                </m:e>
                <m:sub>
                  <m:r>
                    <m:rPr>
                      <m:sty m:val="p"/>
                    </m:rPr>
                    <w:rPr>
                      <w:rFonts w:ascii="Cambria Math" w:hAnsi="Cambria Math"/>
                      <w:lang w:val="en-GB" w:eastAsia="ja-JP"/>
                    </w:rPr>
                    <m:t>p,s</m:t>
                  </m:r>
                </m:sub>
              </m:sSub>
            </m:e>
          </m:d>
          <m:r>
            <m:rPr>
              <m:sty m:val="p"/>
            </m:rPr>
            <w:rPr>
              <w:rFonts w:ascii="Cambria Math" w:hAnsi="Cambria Math"/>
              <w:lang w:val="en-GB" w:eastAsia="ja-JP"/>
            </w:rPr>
            <m:t xml:space="preserve">mod </m:t>
          </m:r>
          <m:sSub>
            <m:sSubPr>
              <m:ctrlPr>
                <w:rPr>
                  <w:rFonts w:ascii="Cambria Math" w:hAnsi="Cambria Math"/>
                  <w:i/>
                  <w:lang w:val="en-GB" w:eastAsia="ja-JP"/>
                </w:rPr>
              </m:ctrlPr>
            </m:sSubPr>
            <m:e>
              <m:r>
                <m:rPr>
                  <m:sty m:val="p"/>
                </m:rPr>
                <w:rPr>
                  <w:rFonts w:ascii="Cambria Math" w:hAnsi="Cambria Math"/>
                  <w:lang w:val="en-GB" w:eastAsia="ja-JP"/>
                </w:rPr>
                <m:t>k</m:t>
              </m:r>
            </m:e>
            <m:sub>
              <m:r>
                <m:rPr>
                  <m:sty m:val="p"/>
                </m:rPr>
                <w:rPr>
                  <w:rFonts w:ascii="Cambria Math" w:hAnsi="Cambria Math"/>
                  <w:lang w:val="en-GB" w:eastAsia="ja-JP"/>
                </w:rPr>
                <m:t>p,s</m:t>
              </m:r>
            </m:sub>
          </m:sSub>
          <m:r>
            <m:rPr>
              <m:sty m:val="p"/>
            </m:rPr>
            <w:rPr>
              <w:rFonts w:ascii="Cambria Math" w:hAnsi="Cambria Math"/>
              <w:lang w:val="en-GB" w:eastAsia="ja-JP"/>
            </w:rPr>
            <m:t xml:space="preserve">=0 </m:t>
          </m:r>
          <m:r>
            <w:rPr>
              <w:rFonts w:ascii="Cambria Math" w:hAnsi="Cambria Math"/>
              <w:i/>
              <w:lang w:val="en-GB" w:eastAsia="ja-JP"/>
            </w:rPr>
            <w:fldChar w:fldCharType="end"/>
          </m:r>
          <m:r>
            <w:rPr>
              <w:rFonts w:ascii="Cambria Math" w:hAnsi="Cambria Math"/>
              <w:lang w:val="en-GB" w:eastAsia="ja-JP"/>
            </w:rPr>
            <m:t>.</m:t>
          </m:r>
        </m:oMath>
      </m:oMathPara>
    </w:p>
    <w:p w14:paraId="68D908AF" w14:textId="1980DFA2" w:rsidR="00287D79" w:rsidRDefault="009C4925" w:rsidP="00206866">
      <w:pPr>
        <w:rPr>
          <w:lang w:val="en-GB" w:eastAsia="ja-JP"/>
        </w:rPr>
      </w:pPr>
      <w:r>
        <w:rPr>
          <w:lang w:val="en-GB" w:eastAsia="ja-JP"/>
        </w:rPr>
        <w:t xml:space="preserve">If </w:t>
      </w:r>
      <w:r w:rsidRPr="00FA1CBC">
        <w:rPr>
          <w:lang w:val="en-GB" w:eastAsia="ja-JP"/>
        </w:rPr>
        <w:t>Y</w:t>
      </w:r>
      <w:r w:rsidRPr="00AD193E">
        <w:rPr>
          <w:vertAlign w:val="subscript"/>
          <w:lang w:val="en-GB" w:eastAsia="ja-JP"/>
        </w:rPr>
        <w:t>group1</w:t>
      </w:r>
      <w:r w:rsidRPr="00FA1CBC">
        <w:rPr>
          <w:lang w:val="en-GB" w:eastAsia="ja-JP"/>
        </w:rPr>
        <w:t xml:space="preserve"> is always restricted to be no more than 2, </w:t>
      </w:r>
      <w:r w:rsidR="001F0A2C">
        <w:rPr>
          <w:lang w:val="en-GB" w:eastAsia="ja-JP"/>
        </w:rPr>
        <w:t xml:space="preserve">the </w:t>
      </w:r>
      <w:r w:rsidR="00206DA1">
        <w:rPr>
          <w:lang w:val="en-GB" w:eastAsia="ja-JP"/>
        </w:rPr>
        <w:t xml:space="preserve">new RRC field </w:t>
      </w:r>
      <w:proofErr w:type="spellStart"/>
      <w:r w:rsidR="00206DA1" w:rsidRPr="0050192E">
        <w:rPr>
          <w:rFonts w:cs="Arial"/>
          <w:i/>
          <w:iCs/>
          <w:szCs w:val="20"/>
          <w:lang w:val="en-GB" w:eastAsia="ja-JP"/>
        </w:rPr>
        <w:t>extraSlotOffsetWithinSlotGroup</w:t>
      </w:r>
      <w:proofErr w:type="spellEnd"/>
      <w:r w:rsidR="00206DA1">
        <w:rPr>
          <w:lang w:val="en-GB" w:eastAsia="ja-JP"/>
        </w:rPr>
        <w:t xml:space="preserve"> </w:t>
      </w:r>
      <w:r w:rsidR="00FA1CBC">
        <w:rPr>
          <w:rFonts w:eastAsiaTheme="minorEastAsia"/>
          <w:lang w:val="en-GB" w:eastAsia="ja-JP"/>
        </w:rPr>
        <w:t>can be a binary value</w:t>
      </w:r>
      <w:r w:rsidR="001F0A2C">
        <w:rPr>
          <w:rFonts w:eastAsiaTheme="minorEastAsia"/>
          <w:lang w:val="en-GB" w:eastAsia="ja-JP"/>
        </w:rPr>
        <w:t xml:space="preserve"> or simpler</w:t>
      </w:r>
      <w:r w:rsidR="0016459A">
        <w:rPr>
          <w:rFonts w:eastAsiaTheme="minorEastAsia"/>
          <w:lang w:val="en-GB" w:eastAsia="ja-JP"/>
        </w:rPr>
        <w:t xml:space="preserve"> (since </w:t>
      </w:r>
      <m:oMath>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s,X</m:t>
            </m:r>
          </m:sub>
        </m:sSub>
        <m:r>
          <w:rPr>
            <w:rFonts w:ascii="Cambria Math" w:hAnsi="Cambria Math"/>
            <w:lang w:val="en-GB" w:eastAsia="ja-JP"/>
          </w:rPr>
          <m:t>=0</m:t>
        </m:r>
      </m:oMath>
      <w:r w:rsidR="0016459A">
        <w:rPr>
          <w:rFonts w:eastAsiaTheme="minorEastAsia"/>
          <w:lang w:val="en-GB" w:eastAsia="ja-JP"/>
        </w:rPr>
        <w:t xml:space="preserve"> if </w:t>
      </w:r>
      <w:proofErr w:type="spellStart"/>
      <w:r w:rsidR="0016459A" w:rsidRPr="0050192E">
        <w:rPr>
          <w:rFonts w:cs="Arial"/>
          <w:i/>
          <w:iCs/>
          <w:szCs w:val="20"/>
          <w:lang w:val="en-GB" w:eastAsia="ja-JP"/>
        </w:rPr>
        <w:t>extraSlotOffsetWithinSlotGroup</w:t>
      </w:r>
      <w:proofErr w:type="spellEnd"/>
      <w:r w:rsidR="0016459A">
        <w:rPr>
          <w:rFonts w:eastAsiaTheme="minorEastAsia"/>
          <w:lang w:val="en-GB" w:eastAsia="ja-JP"/>
        </w:rPr>
        <w:t xml:space="preserve"> is not provided</w:t>
      </w:r>
      <w:r w:rsidR="00C146BD">
        <w:rPr>
          <w:rFonts w:eastAsiaTheme="minorEastAsia"/>
          <w:lang w:val="en-GB" w:eastAsia="ja-JP"/>
        </w:rPr>
        <w:t xml:space="preserve"> in the search space configuration</w:t>
      </w:r>
      <w:r w:rsidR="0016459A">
        <w:rPr>
          <w:rFonts w:eastAsiaTheme="minorEastAsia"/>
          <w:lang w:val="en-GB" w:eastAsia="ja-JP"/>
        </w:rPr>
        <w:t>)</w:t>
      </w:r>
      <w:r w:rsidR="00FA1CBC">
        <w:rPr>
          <w:rFonts w:eastAsiaTheme="minorEastAsia"/>
          <w:lang w:val="en-GB" w:eastAsia="ja-JP"/>
        </w:rPr>
        <w:t>.</w:t>
      </w:r>
    </w:p>
    <w:p w14:paraId="21F09DCE" w14:textId="77777777" w:rsidR="00645A0B" w:rsidRDefault="00645A0B" w:rsidP="00206866">
      <w:pPr>
        <w:rPr>
          <w:lang w:val="en-GB" w:eastAsia="ja-JP"/>
        </w:rPr>
      </w:pPr>
    </w:p>
    <w:p w14:paraId="0FE29F94" w14:textId="780A3138" w:rsidR="00C576EA" w:rsidRDefault="003D7724" w:rsidP="00C576EA">
      <w:pPr>
        <w:pStyle w:val="Proposal"/>
        <w:overflowPunct w:val="0"/>
        <w:autoSpaceDE w:val="0"/>
        <w:autoSpaceDN w:val="0"/>
        <w:adjustRightInd w:val="0"/>
        <w:spacing w:after="0" w:line="240" w:lineRule="auto"/>
        <w:textAlignment w:val="baseline"/>
        <w:rPr>
          <w:rFonts w:eastAsiaTheme="minorEastAsia"/>
        </w:rPr>
      </w:pPr>
      <w:bookmarkStart w:id="34" w:name="_Toc87014508"/>
      <w:r>
        <w:t>If Y</w:t>
      </w:r>
      <w:r w:rsidRPr="00501383">
        <w:rPr>
          <w:vertAlign w:val="subscript"/>
        </w:rPr>
        <w:t>group1</w:t>
      </w:r>
      <w:r>
        <w:t xml:space="preserve"> </w:t>
      </w:r>
      <w:r>
        <w:rPr>
          <w:rFonts w:ascii="Cambria Math" w:hAnsi="Cambria Math"/>
        </w:rPr>
        <w:t xml:space="preserve">≥ </w:t>
      </w:r>
      <w:r>
        <w:t>2, f</w:t>
      </w:r>
      <w:r w:rsidR="00C576EA" w:rsidRPr="009D31AB">
        <w:t xml:space="preserve">or </w:t>
      </w:r>
      <w:r w:rsidR="00C576EA" w:rsidRPr="009D31AB">
        <w:rPr>
          <w:rFonts w:eastAsiaTheme="minorEastAsia"/>
        </w:rPr>
        <w:t>operation with 480/960 kHz SCS</w:t>
      </w:r>
      <w:r w:rsidR="00C576EA" w:rsidRPr="009D31AB">
        <w:t xml:space="preserve"> </w:t>
      </w:r>
      <w:r w:rsidR="00C576EA" w:rsidRPr="009D31AB">
        <w:rPr>
          <w:lang w:val="en-GB" w:eastAsia="ja-JP"/>
        </w:rPr>
        <w:t xml:space="preserve">multi-slot PDCCH monitoring with slot group size of X, </w:t>
      </w:r>
      <w:r w:rsidR="00C576EA">
        <w:rPr>
          <w:lang w:val="en-GB" w:eastAsia="ja-JP"/>
        </w:rPr>
        <w:t xml:space="preserve">if the UE is provided with a configuration of an additional slot offset within a slot group, </w:t>
      </w:r>
      <m:oMath>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s,X</m:t>
            </m:r>
          </m:sub>
        </m:sSub>
      </m:oMath>
      <w:r w:rsidR="00C576EA">
        <w:rPr>
          <w:lang w:val="en-GB" w:eastAsia="ja-JP"/>
        </w:rPr>
        <w:t xml:space="preserve">, for a search space </w:t>
      </w:r>
      <m:oMath>
        <m:r>
          <m:rPr>
            <m:sty m:val="bi"/>
          </m:rPr>
          <w:rPr>
            <w:rFonts w:ascii="Cambria Math" w:hAnsi="Cambria Math"/>
            <w:lang w:val="en-GB" w:eastAsia="ja-JP"/>
          </w:rPr>
          <m:t>s</m:t>
        </m:r>
      </m:oMath>
      <w:r w:rsidR="00C576EA">
        <w:rPr>
          <w:rFonts w:eastAsiaTheme="minorEastAsia"/>
          <w:lang w:val="en-GB" w:eastAsia="ja-JP"/>
        </w:rPr>
        <w:t xml:space="preserve">, </w:t>
      </w:r>
      <w:r w:rsidR="00C576EA" w:rsidRPr="009D31AB">
        <w:rPr>
          <w:rFonts w:cs="Arial"/>
          <w:szCs w:val="20"/>
          <w:lang w:val="en-GB" w:eastAsia="ja-JP"/>
        </w:rPr>
        <w:t xml:space="preserve">the UE determines </w:t>
      </w:r>
      <w:r>
        <w:rPr>
          <w:rFonts w:cs="Arial"/>
          <w:szCs w:val="20"/>
          <w:lang w:val="en-GB" w:eastAsia="ja-JP"/>
        </w:rPr>
        <w:t xml:space="preserve">that </w:t>
      </w:r>
      <w:r w:rsidR="00C576EA" w:rsidRPr="009D31AB">
        <w:rPr>
          <w:rFonts w:cs="Arial"/>
          <w:szCs w:val="20"/>
          <w:lang w:val="en-GB" w:eastAsia="ja-JP"/>
        </w:rPr>
        <w:t xml:space="preserve">a PDCCH monitoring occasion for search space </w:t>
      </w:r>
      <m:oMath>
        <m:r>
          <m:rPr>
            <m:sty m:val="bi"/>
          </m:rPr>
          <w:rPr>
            <w:rFonts w:ascii="Cambria Math" w:hAnsi="Cambria Math" w:cs="Arial"/>
            <w:szCs w:val="20"/>
            <w:lang w:val="en-GB" w:eastAsia="ja-JP"/>
          </w:rPr>
          <m:t>s</m:t>
        </m:r>
      </m:oMath>
      <w:r w:rsidR="00C576EA" w:rsidRPr="009D31AB">
        <w:rPr>
          <w:rFonts w:eastAsiaTheme="minorEastAsia" w:cs="Arial"/>
          <w:szCs w:val="20"/>
          <w:lang w:val="en-GB" w:eastAsia="ja-JP"/>
        </w:rPr>
        <w:t xml:space="preserve"> </w:t>
      </w:r>
      <w:r w:rsidR="00C576EA">
        <w:rPr>
          <w:rFonts w:eastAsiaTheme="minorEastAsia" w:cs="Arial"/>
          <w:szCs w:val="20"/>
          <w:lang w:val="en-GB" w:eastAsia="ja-JP"/>
        </w:rPr>
        <w:t xml:space="preserve">in </w:t>
      </w:r>
      <w:r w:rsidR="00AA44AD">
        <w:rPr>
          <w:rFonts w:eastAsiaTheme="minorEastAsia" w:cs="Arial"/>
          <w:szCs w:val="20"/>
          <w:lang w:val="en-GB" w:eastAsia="ja-JP"/>
        </w:rPr>
        <w:t xml:space="preserve">Group (1) </w:t>
      </w:r>
      <w:r>
        <w:rPr>
          <w:rFonts w:eastAsiaTheme="minorEastAsia" w:cs="Arial"/>
          <w:szCs w:val="20"/>
          <w:lang w:val="en-GB" w:eastAsia="ja-JP"/>
        </w:rPr>
        <w:t xml:space="preserve">is </w:t>
      </w:r>
      <w:r w:rsidR="00C576EA" w:rsidRPr="009D31AB">
        <w:rPr>
          <w:rFonts w:cs="Arial"/>
          <w:szCs w:val="20"/>
          <w:lang w:val="en-GB" w:eastAsia="ja-JP"/>
        </w:rPr>
        <w:t xml:space="preserve">in slot </w:t>
      </w:r>
      <w:r w:rsidR="0099688A">
        <w:rPr>
          <w:rFonts w:cs="Arial"/>
          <w:szCs w:val="20"/>
          <w:lang w:val="en-GB" w:eastAsia="ja-JP"/>
        </w:rPr>
        <w:t>with index</w:t>
      </w:r>
      <w:r w:rsidR="00C576EA" w:rsidRPr="009D31AB">
        <w:rPr>
          <w:rFonts w:cs="Arial"/>
          <w:szCs w:val="20"/>
          <w:lang w:val="en-GB" w:eastAsia="ja-JP"/>
        </w:rPr>
        <w:t xml:space="preserve">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00C576EA" w:rsidRPr="009D31AB">
        <w:rPr>
          <w:rFonts w:cs="Arial"/>
          <w:szCs w:val="20"/>
          <w:lang w:val="en-GB" w:eastAsia="ja-JP"/>
        </w:rPr>
        <w:t xml:space="preserve"> in a frame with </w:t>
      </w:r>
      <w:r w:rsidR="0099688A">
        <w:rPr>
          <w:rFonts w:cs="Arial"/>
          <w:szCs w:val="20"/>
          <w:lang w:val="en-GB" w:eastAsia="ja-JP"/>
        </w:rPr>
        <w:t>index</w:t>
      </w:r>
      <w:r w:rsidR="0099688A" w:rsidRPr="009D31AB">
        <w:rPr>
          <w:rFonts w:cs="Arial"/>
          <w:szCs w:val="20"/>
          <w:lang w:val="en-GB" w:eastAsia="ja-JP"/>
        </w:rPr>
        <w:t xml:space="preserve">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00C576EA" w:rsidRPr="009D31AB">
        <w:rPr>
          <w:rFonts w:cs="Arial"/>
          <w:szCs w:val="20"/>
          <w:lang w:val="en-GB" w:eastAsia="ja-JP"/>
        </w:rPr>
        <w:t xml:space="preserve"> if</w:t>
      </w:r>
      <w:bookmarkEnd w:id="34"/>
    </w:p>
    <w:bookmarkStart w:id="35" w:name="_Toc87014509"/>
    <w:p w14:paraId="04109B41" w14:textId="029598C0" w:rsidR="00C576EA" w:rsidRDefault="00415413" w:rsidP="00C576EA">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s,X</m:t>
                  </m:r>
                </m:sub>
              </m:sSub>
              <m:r>
                <m:rPr>
                  <m:sty m:val="bi"/>
                </m:rPr>
                <w:rPr>
                  <w:rFonts w:ascii="Cambria Math" w:hAnsi="Cambria Math"/>
                  <w:lang w:val="en-GB" w:eastAsia="ja-JP"/>
                </w:rPr>
                <m:t>- X</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m:t>
          </m:r>
          <m:sSub>
            <m:sSubPr>
              <m:ctrlPr>
                <w:rPr>
                  <w:rFonts w:ascii="Cambria Math" w:hAnsi="Cambria Math"/>
                  <w:i/>
                  <w:lang w:val="en-GB" w:eastAsia="ja-JP"/>
                </w:rPr>
              </m:ctrlPr>
            </m:sSubPr>
            <m:e>
              <m:r>
                <m:rPr>
                  <m:sty m:val="bi"/>
                </m:rPr>
                <w:rPr>
                  <w:rFonts w:ascii="Cambria Math" w:hAnsi="Cambria Math"/>
                  <w:lang w:val="en-GB" w:eastAsia="ja-JP"/>
                </w:rPr>
                <m:t>k</m:t>
              </m:r>
            </m:e>
            <m:sub>
              <m:r>
                <m:rPr>
                  <m:sty m:val="bi"/>
                </m:rPr>
                <w:rPr>
                  <w:rFonts w:ascii="Cambria Math" w:hAnsi="Cambria Math"/>
                  <w:lang w:val="en-GB" w:eastAsia="ja-JP"/>
                </w:rPr>
                <m:t>s</m:t>
              </m:r>
            </m:sub>
          </m:sSub>
          <m:r>
            <m:rPr>
              <m:sty m:val="bi"/>
            </m:rPr>
            <w:rPr>
              <w:rFonts w:ascii="Cambria Math" w:hAnsi="Cambria Math"/>
              <w:lang w:val="en-GB" w:eastAsia="ja-JP"/>
            </w:rPr>
            <m:t xml:space="preserve">=Xd, </m:t>
          </m:r>
          <m:r>
            <m:rPr>
              <m:sty m:val="b"/>
            </m:rPr>
            <w:rPr>
              <w:rFonts w:ascii="Cambria Math" w:hAnsi="Cambria Math"/>
              <w:lang w:val="en-GB" w:eastAsia="ja-JP"/>
            </w:rPr>
            <m:t>for</m:t>
          </m:r>
          <m:r>
            <m:rPr>
              <m:sty m:val="bi"/>
            </m:rPr>
            <w:rPr>
              <w:rFonts w:ascii="Cambria Math" w:hAnsi="Cambria Math"/>
              <w:lang w:val="en-GB" w:eastAsia="ja-JP"/>
            </w:rPr>
            <m:t xml:space="preserve"> d=0, 1,…, </m:t>
          </m:r>
          <m:sSub>
            <m:sSubPr>
              <m:ctrlPr>
                <w:rPr>
                  <w:rFonts w:ascii="Cambria Math" w:hAnsi="Cambria Math"/>
                  <w:i/>
                  <w:lang w:val="en-GB" w:eastAsia="ja-JP"/>
                </w:rPr>
              </m:ctrlPr>
            </m:sSubPr>
            <m:e>
              <m:r>
                <m:rPr>
                  <m:sty m:val="bi"/>
                </m:rPr>
                <w:rPr>
                  <w:rFonts w:ascii="Cambria Math" w:hAnsi="Cambria Math"/>
                  <w:lang w:val="en-GB" w:eastAsia="ja-JP"/>
                </w:rPr>
                <m:t>T</m:t>
              </m:r>
            </m:e>
            <m:sub>
              <m:r>
                <m:rPr>
                  <m:sty m:val="bi"/>
                </m:rPr>
                <w:rPr>
                  <w:rFonts w:ascii="Cambria Math" w:hAnsi="Cambria Math"/>
                  <w:lang w:val="en-GB" w:eastAsia="ja-JP"/>
                </w:rPr>
                <m:t>s</m:t>
              </m:r>
            </m:sub>
          </m:sSub>
          <m:r>
            <m:rPr>
              <m:sty m:val="bi"/>
            </m:rPr>
            <w:rPr>
              <w:rFonts w:ascii="Cambria Math" w:hAnsi="Cambria Math"/>
              <w:lang w:val="en-GB" w:eastAsia="ja-JP"/>
            </w:rPr>
            <m:t>-1,</m:t>
          </m:r>
          <w:bookmarkEnd w:id="35"/>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0C20BFB8" w14:textId="1E428D8C" w:rsidR="00C576EA" w:rsidRPr="00F27BA4" w:rsidRDefault="00C576EA" w:rsidP="00C576EA">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eastAsiaTheme="minorEastAsia"/>
        </w:rPr>
      </w:pPr>
      <w:bookmarkStart w:id="36" w:name="_Toc87014510"/>
      <w:r w:rsidRPr="009D31AB">
        <w:rPr>
          <w:rFonts w:eastAsiaTheme="minorEastAsia" w:cs="Arial"/>
          <w:lang w:val="en-GB" w:eastAsia="ja-JP"/>
        </w:rPr>
        <w:t xml:space="preserve">where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k</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o</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and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T</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are the configured </w:t>
      </w:r>
      <w:r w:rsidRPr="009D31AB">
        <w:rPr>
          <w:rFonts w:eastAsia="Calibri" w:cs="Arial"/>
          <w:szCs w:val="20"/>
          <w:lang w:val="en-GB" w:eastAsia="ja-JP"/>
        </w:rPr>
        <w:t xml:space="preserve">periodicity, offset and duration of the search space </w:t>
      </w:r>
      <m:oMath>
        <m:r>
          <m:rPr>
            <m:sty m:val="bi"/>
          </m:rPr>
          <w:rPr>
            <w:rFonts w:ascii="Cambria Math" w:eastAsia="Calibri" w:hAnsi="Cambria Math" w:cs="Arial"/>
            <w:szCs w:val="20"/>
            <w:lang w:val="en-GB" w:eastAsia="ja-JP"/>
          </w:rPr>
          <m:t>s</m:t>
        </m:r>
      </m:oMath>
      <w:r w:rsidRPr="009D31AB">
        <w:rPr>
          <w:rFonts w:eastAsia="Calibri" w:cs="Arial"/>
          <w:szCs w:val="20"/>
          <w:lang w:val="en-GB" w:eastAsia="ja-JP"/>
        </w:rPr>
        <w:t xml:space="preserve"> in terms of X-slot groups</w:t>
      </w:r>
      <w:r w:rsidR="00C8053A">
        <w:rPr>
          <w:rFonts w:eastAsia="Calibri" w:cs="Arial"/>
          <w:szCs w:val="20"/>
          <w:lang w:val="en-GB" w:eastAsia="ja-JP"/>
        </w:rPr>
        <w:t xml:space="preserve">, and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sidR="00C8053A">
        <w:rPr>
          <w:rFonts w:eastAsia="Calibri" w:cs="Arial"/>
          <w:lang w:val="en-GB" w:eastAsia="ja-JP"/>
        </w:rPr>
        <w:t xml:space="preserve"> is </w:t>
      </w:r>
      <w:r w:rsidR="00647205">
        <w:rPr>
          <w:rFonts w:eastAsia="Calibri" w:cs="Arial"/>
          <w:lang w:val="en-GB" w:eastAsia="ja-JP"/>
        </w:rPr>
        <w:t xml:space="preserve">the </w:t>
      </w:r>
      <w:r w:rsidR="00C8053A">
        <w:rPr>
          <w:rFonts w:eastAsia="Calibri" w:cs="Arial"/>
          <w:lang w:val="en-GB" w:eastAsia="ja-JP"/>
        </w:rPr>
        <w:t>slot group grid offset</w:t>
      </w:r>
      <w:r w:rsidR="003D7724">
        <w:rPr>
          <w:rFonts w:eastAsia="Calibri" w:cs="Arial"/>
          <w:lang w:val="en-GB" w:eastAsia="ja-JP"/>
        </w:rPr>
        <w:t>.</w:t>
      </w:r>
      <w:bookmarkEnd w:id="36"/>
    </w:p>
    <w:p w14:paraId="2519BB38" w14:textId="411546AF" w:rsidR="00C576EA" w:rsidRDefault="00C576EA" w:rsidP="00206866">
      <w:pPr>
        <w:rPr>
          <w:lang w:val="en-GB" w:eastAsia="ja-JP"/>
        </w:rPr>
      </w:pPr>
    </w:p>
    <w:p w14:paraId="1DBE3B67" w14:textId="48F7CB51" w:rsidR="00043E8E" w:rsidRDefault="00043E8E" w:rsidP="00043E8E">
      <w:pPr>
        <w:pStyle w:val="Heading3"/>
      </w:pPr>
      <w:bookmarkStart w:id="37" w:name="_Toc86845009"/>
      <w:r>
        <w:t>2.1.</w:t>
      </w:r>
      <w:r w:rsidR="002A7A76">
        <w:t>3</w:t>
      </w:r>
      <w:r w:rsidRPr="00C81EDA">
        <w:tab/>
      </w:r>
      <w:r>
        <w:t>Selection of Y</w:t>
      </w:r>
      <w:r w:rsidR="00D20C82" w:rsidRPr="00D20C82">
        <w:rPr>
          <w:vertAlign w:val="subscript"/>
        </w:rPr>
        <w:t>group1</w:t>
      </w:r>
      <w:r>
        <w:t xml:space="preserve"> value for Group (1) search spaces</w:t>
      </w:r>
      <w:bookmarkEnd w:id="37"/>
    </w:p>
    <w:p w14:paraId="25F99AD0" w14:textId="77777777" w:rsidR="00043E8E" w:rsidRDefault="00043E8E" w:rsidP="00043E8E">
      <w:pPr>
        <w:pStyle w:val="BodyText"/>
      </w:pPr>
      <w:r>
        <w:t xml:space="preserve">In designing the Rel-17 multi-slot PDCCH monitoring solutions, </w:t>
      </w:r>
      <w:r w:rsidRPr="00AD68A2">
        <w:rPr>
          <w:u w:val="single"/>
        </w:rPr>
        <w:t>both aspects shall hence be addressed jointly</w:t>
      </w:r>
      <w:r>
        <w:t>:</w:t>
      </w:r>
    </w:p>
    <w:p w14:paraId="73B4E078" w14:textId="6AC72600" w:rsidR="00043E8E" w:rsidRDefault="00043E8E" w:rsidP="00F447F1">
      <w:pPr>
        <w:pStyle w:val="BodyText"/>
        <w:numPr>
          <w:ilvl w:val="0"/>
          <w:numId w:val="14"/>
        </w:numPr>
        <w:contextualSpacing/>
      </w:pPr>
      <w:r>
        <w:t xml:space="preserve">In which </w:t>
      </w:r>
      <w:r w:rsidR="003264FD">
        <w:t xml:space="preserve">and in how many </w:t>
      </w:r>
      <w:r>
        <w:t>slot(s) of a multi-slot span shall PDCCH be monitored?</w:t>
      </w:r>
    </w:p>
    <w:p w14:paraId="7D1463A9" w14:textId="77777777" w:rsidR="00043E8E" w:rsidRDefault="00043E8E" w:rsidP="00043E8E">
      <w:pPr>
        <w:pStyle w:val="BodyText"/>
        <w:numPr>
          <w:ilvl w:val="0"/>
          <w:numId w:val="14"/>
        </w:numPr>
      </w:pPr>
      <w:r>
        <w:t>In which OFDM symbols of a monitored slot shall PDCCH be monitored?</w:t>
      </w:r>
    </w:p>
    <w:p w14:paraId="12404535" w14:textId="432B6D2B" w:rsidR="00043E8E" w:rsidRDefault="00043E8E" w:rsidP="00043E8E">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w:t>
      </w:r>
      <w:r>
        <w:t>X</w:t>
      </w:r>
      <w:r w:rsidRPr="00EC515B">
        <w:t xml:space="preserve">-slot </w:t>
      </w:r>
      <w:r>
        <w:t xml:space="preserve">window </w:t>
      </w:r>
      <w:r w:rsidRPr="00EC515B">
        <w:t xml:space="preserve">(not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xml:space="preserve">. For such a solution </w:t>
      </w:r>
      <w:r w:rsidR="00DB2A48">
        <w:t>monitoring as per Rel-15 FG 3-1</w:t>
      </w:r>
      <w:r w:rsidRPr="00EC515B">
        <w:t xml:space="preserve"> would be far too restrictive. </w:t>
      </w:r>
      <w:r>
        <w:t xml:space="preserve">On the other hand, if </w:t>
      </w:r>
      <w:r w:rsidRPr="00EC515B">
        <w:t xml:space="preserve">there is network flexibility to configure a UE to monitor in different slots of an </w:t>
      </w:r>
      <w:r>
        <w:t>X</w:t>
      </w:r>
      <w:r w:rsidRPr="00EC515B">
        <w:t xml:space="preserve">-slot </w:t>
      </w:r>
      <w:r>
        <w:t xml:space="preserve">window </w:t>
      </w:r>
      <w:r w:rsidRPr="00EC515B">
        <w:t xml:space="preserve">(e.g., CSS and USS in different slots), then </w:t>
      </w:r>
      <w:r w:rsidR="00DB2A48">
        <w:t xml:space="preserve">monitoring as per Rel-15 FG 3-1 </w:t>
      </w:r>
      <w:r w:rsidRPr="00EC515B">
        <w:t>would probably be sufficient.</w:t>
      </w:r>
    </w:p>
    <w:p w14:paraId="46ABAAA4" w14:textId="77777777" w:rsidR="00043E8E" w:rsidRDefault="00043E8E" w:rsidP="00043E8E">
      <w:pPr>
        <w:pStyle w:val="Proposal"/>
        <w:overflowPunct w:val="0"/>
        <w:autoSpaceDE w:val="0"/>
        <w:autoSpaceDN w:val="0"/>
        <w:adjustRightInd w:val="0"/>
        <w:spacing w:after="0" w:line="240" w:lineRule="auto"/>
        <w:textAlignment w:val="baseline"/>
        <w:rPr>
          <w:rFonts w:eastAsiaTheme="minorEastAsia"/>
        </w:rPr>
      </w:pPr>
      <w:bookmarkStart w:id="38" w:name="_Toc87014511"/>
      <w:r>
        <w:t>In defining a solution for Rel-17 multi-slot PDCCH monitoring, both intra- and inter-slot monitoring aspects shall be addressed jointly</w:t>
      </w:r>
      <w:r>
        <w:rPr>
          <w:rFonts w:eastAsiaTheme="minorEastAsia"/>
        </w:rPr>
        <w:t>:</w:t>
      </w:r>
      <w:bookmarkEnd w:id="38"/>
    </w:p>
    <w:p w14:paraId="42BE2BBF" w14:textId="3797C983" w:rsidR="00043E8E" w:rsidRPr="00F27BA4" w:rsidRDefault="00043E8E" w:rsidP="00043E8E">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39" w:name="_Toc87014512"/>
      <w:r>
        <w:t xml:space="preserve">In which </w:t>
      </w:r>
      <w:r w:rsidR="00165D6B">
        <w:t xml:space="preserve">and </w:t>
      </w:r>
      <w:r w:rsidR="00333F60">
        <w:t xml:space="preserve">in </w:t>
      </w:r>
      <w:r w:rsidR="00165D6B">
        <w:t xml:space="preserve">how many </w:t>
      </w:r>
      <w:r>
        <w:t>slot(s) of a multi-slot span shall PDCCH be monitored?</w:t>
      </w:r>
      <w:bookmarkEnd w:id="39"/>
    </w:p>
    <w:p w14:paraId="14A113E2" w14:textId="77777777" w:rsidR="00043E8E" w:rsidRPr="00527D78" w:rsidRDefault="00043E8E" w:rsidP="00043E8E">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40" w:name="_Toc87014513"/>
      <w:r>
        <w:t>In which OFDM symbols of a monitored slot shall PDCCH be monitored?</w:t>
      </w:r>
      <w:bookmarkEnd w:id="40"/>
    </w:p>
    <w:p w14:paraId="0284823F" w14:textId="77777777" w:rsidR="00043E8E" w:rsidRPr="00FC6139" w:rsidRDefault="00043E8E" w:rsidP="00043E8E">
      <w:pPr>
        <w:rPr>
          <w:lang w:val="en-GB" w:eastAsia="ja-JP"/>
        </w:rPr>
      </w:pPr>
    </w:p>
    <w:p w14:paraId="308566C1" w14:textId="77777777" w:rsidR="00043E8E" w:rsidRPr="0045078F" w:rsidRDefault="00043E8E" w:rsidP="00043E8E">
      <w:pPr>
        <w:pStyle w:val="BodyText"/>
        <w:rPr>
          <w:b/>
          <w:bCs/>
          <w:u w:val="single"/>
        </w:rPr>
      </w:pPr>
      <w:r>
        <w:rPr>
          <w:b/>
          <w:bCs/>
          <w:u w:val="single"/>
        </w:rPr>
        <w:t xml:space="preserve">Case of </w:t>
      </w:r>
      <w:r w:rsidRPr="0045078F">
        <w:rPr>
          <w:b/>
          <w:bCs/>
          <w:u w:val="single"/>
        </w:rPr>
        <w:t>Y</w:t>
      </w:r>
      <w:r w:rsidRPr="00A36C4F">
        <w:rPr>
          <w:b/>
          <w:bCs/>
          <w:u w:val="single"/>
          <w:vertAlign w:val="subscript"/>
        </w:rPr>
        <w:t>group1</w:t>
      </w:r>
      <w:r w:rsidRPr="0045078F">
        <w:rPr>
          <w:b/>
          <w:bCs/>
          <w:u w:val="single"/>
        </w:rPr>
        <w:t xml:space="preserve"> </w:t>
      </w:r>
      <w:r w:rsidRPr="0045078F">
        <w:rPr>
          <w:rFonts w:ascii="Cambria Math" w:hAnsi="Cambria Math"/>
          <w:b/>
          <w:bCs/>
          <w:u w:val="single"/>
        </w:rPr>
        <w:t xml:space="preserve">≤ </w:t>
      </w:r>
      <w:r w:rsidRPr="0045078F">
        <w:rPr>
          <w:b/>
          <w:bCs/>
          <w:u w:val="single"/>
        </w:rPr>
        <w:t>1 slot</w:t>
      </w:r>
    </w:p>
    <w:p w14:paraId="08C3D8FB" w14:textId="6A697178" w:rsidR="00043E8E" w:rsidRDefault="00043E8E" w:rsidP="00043E8E">
      <w:pPr>
        <w:pStyle w:val="BodyText"/>
      </w:pPr>
      <w:r>
        <w:t xml:space="preserve">If PDCCH monitoring is restricted to one slot within each X-slot window, it becomes necessary to utilize more OFDM symbols in the slot to multiplex different UEs on CORESETs with different time locations as illustrated in </w:t>
      </w:r>
      <w:r w:rsidR="00895C10">
        <w:fldChar w:fldCharType="begin"/>
      </w:r>
      <w:r w:rsidR="00895C10">
        <w:instrText xml:space="preserve"> REF _Ref87014661 \h </w:instrText>
      </w:r>
      <w:r w:rsidR="00895C10">
        <w:fldChar w:fldCharType="separate"/>
      </w:r>
      <w:r w:rsidR="00357B6D" w:rsidRPr="009B6F32">
        <w:t xml:space="preserve">Figure </w:t>
      </w:r>
      <w:r w:rsidR="00357B6D">
        <w:rPr>
          <w:noProof/>
        </w:rPr>
        <w:t>4</w:t>
      </w:r>
      <w:r w:rsidR="00895C10">
        <w:fldChar w:fldCharType="end"/>
      </w:r>
      <w:r w:rsidR="00895C10">
        <w:t xml:space="preserve"> </w:t>
      </w:r>
      <w:r>
        <w:t xml:space="preserve">below. A UE will need to be able to monitor CSS in one CORESET and USS in a different CORESET that are not necessarily contiguous in time, either. That is, intra-slot Case 2 monitoring </w:t>
      </w:r>
      <w:proofErr w:type="gramStart"/>
      <w:r>
        <w:t xml:space="preserve">capability </w:t>
      </w:r>
      <w:r w:rsidR="00DB2A48">
        <w:t xml:space="preserve"> </w:t>
      </w:r>
      <w:r>
        <w:t>support</w:t>
      </w:r>
      <w:proofErr w:type="gramEnd"/>
      <w:r>
        <w:t xml:space="preserve"> </w:t>
      </w:r>
      <w:r w:rsidR="00DB2A48">
        <w:t xml:space="preserve">(Rel-15 FG 3-5) </w:t>
      </w:r>
      <w:r>
        <w:t xml:space="preserve">will be mandatory if </w:t>
      </w:r>
      <w:r w:rsidRPr="004A4BDC">
        <w:t>Y</w:t>
      </w:r>
      <w:r w:rsidRPr="00A36C4F">
        <w:rPr>
          <w:vertAlign w:val="subscript"/>
        </w:rPr>
        <w:t>group1</w:t>
      </w:r>
      <w:r w:rsidRPr="004A4BDC">
        <w:t xml:space="preserve"> ≤ 1 slot</w:t>
      </w:r>
      <w:r>
        <w:t>. This is because the UE may also need to monitor the CSS and USS in the same slot and the SS may be separated by more than three OS span allowed in intra-slot Case 1-2.</w:t>
      </w:r>
    </w:p>
    <w:p w14:paraId="5C67B7A6" w14:textId="77777777" w:rsidR="00043E8E" w:rsidRDefault="00043E8E" w:rsidP="00043E8E">
      <w:pPr>
        <w:pStyle w:val="BodyText"/>
      </w:pPr>
    </w:p>
    <w:p w14:paraId="11FD4A6D" w14:textId="64165948" w:rsidR="00043E8E" w:rsidRPr="00527D78" w:rsidRDefault="00043E8E" w:rsidP="00043E8E">
      <w:pPr>
        <w:pStyle w:val="Proposal"/>
        <w:overflowPunct w:val="0"/>
        <w:autoSpaceDE w:val="0"/>
        <w:autoSpaceDN w:val="0"/>
        <w:adjustRightInd w:val="0"/>
        <w:spacing w:line="240" w:lineRule="auto"/>
        <w:textAlignment w:val="baseline"/>
        <w:rPr>
          <w:rFonts w:eastAsiaTheme="minorEastAsia"/>
        </w:rPr>
      </w:pPr>
      <w:bookmarkStart w:id="41" w:name="_Toc87014514"/>
      <w:r>
        <w:rPr>
          <w:rFonts w:cs="Arial"/>
          <w:szCs w:val="20"/>
          <w:lang w:eastAsia="x-none"/>
        </w:rPr>
        <w:t xml:space="preserve">For multi-slot PDCCH monitoring with 480/960 kHz SCS, it is mandatory for the UE to support intra-slot PDCCH monitoring capability Case 2 </w:t>
      </w:r>
      <w:r w:rsidR="00DB2A48">
        <w:rPr>
          <w:rFonts w:cs="Arial"/>
          <w:szCs w:val="20"/>
          <w:lang w:eastAsia="x-none"/>
        </w:rPr>
        <w:t xml:space="preserve">(Rel-15 FG 3-5) </w:t>
      </w:r>
      <w:r>
        <w:rPr>
          <w:rFonts w:cs="Arial"/>
          <w:szCs w:val="20"/>
          <w:lang w:eastAsia="x-none"/>
        </w:rPr>
        <w:t>if Y</w:t>
      </w:r>
      <w:r w:rsidRPr="00A36C4F">
        <w:rPr>
          <w:vertAlign w:val="subscript"/>
        </w:rPr>
        <w:t>group1</w:t>
      </w:r>
      <w:r>
        <w:rPr>
          <w:rFonts w:cs="Arial"/>
          <w:szCs w:val="20"/>
          <w:lang w:eastAsia="x-none"/>
        </w:rPr>
        <w:t xml:space="preserve"> </w:t>
      </w:r>
      <w:r w:rsidRPr="00F261E7">
        <w:rPr>
          <w:rFonts w:ascii="Cambria Math" w:hAnsi="Cambria Math"/>
        </w:rPr>
        <w:t>≤</w:t>
      </w:r>
      <w:r w:rsidRPr="00F261E7">
        <w:rPr>
          <w:rFonts w:cs="Arial"/>
          <w:szCs w:val="20"/>
          <w:lang w:eastAsia="x-none"/>
        </w:rPr>
        <w:t xml:space="preserve"> </w:t>
      </w:r>
      <w:r>
        <w:rPr>
          <w:rFonts w:cs="Arial"/>
          <w:szCs w:val="20"/>
          <w:lang w:eastAsia="x-none"/>
        </w:rPr>
        <w:t>1 slot</w:t>
      </w:r>
      <w:r>
        <w:rPr>
          <w:rFonts w:eastAsiaTheme="minorEastAsia"/>
        </w:rPr>
        <w:t>.</w:t>
      </w:r>
      <w:bookmarkEnd w:id="41"/>
    </w:p>
    <w:p w14:paraId="3D1CF963" w14:textId="77777777" w:rsidR="00043E8E" w:rsidRDefault="00043E8E" w:rsidP="00043E8E">
      <w:pPr>
        <w:pStyle w:val="BodyText"/>
        <w:spacing w:before="120"/>
      </w:pPr>
      <w:r w:rsidRPr="001D4276">
        <w:lastRenderedPageBreak/>
        <w:t xml:space="preserve"> </w:t>
      </w:r>
      <w:r w:rsidRPr="001D4276">
        <w:rPr>
          <w:noProof/>
        </w:rPr>
        <w:drawing>
          <wp:inline distT="0" distB="0" distL="0" distR="0" wp14:anchorId="777D16C1" wp14:editId="14DEF3C2">
            <wp:extent cx="6120765" cy="845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1B9810E0" w14:textId="59A00F19" w:rsidR="00043E8E" w:rsidRDefault="00043E8E" w:rsidP="00043E8E">
      <w:pPr>
        <w:pStyle w:val="TF"/>
        <w:jc w:val="both"/>
        <w:rPr>
          <w:lang w:val="en-US"/>
        </w:rPr>
      </w:pPr>
      <w:bookmarkStart w:id="42" w:name="_Ref87014661"/>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357B6D">
        <w:rPr>
          <w:noProof/>
          <w:lang w:val="en-US"/>
        </w:rPr>
        <w:t>4</w:t>
      </w:r>
      <w:r w:rsidRPr="009B6F32">
        <w:rPr>
          <w:lang w:val="en-US"/>
        </w:rPr>
        <w:fldChar w:fldCharType="end"/>
      </w:r>
      <w:bookmarkEnd w:id="42"/>
      <w:r w:rsidRPr="009B6F32">
        <w:rPr>
          <w:lang w:val="en-US"/>
        </w:rPr>
        <w:t xml:space="preserve">: </w:t>
      </w:r>
      <w:r>
        <w:rPr>
          <w:lang w:val="en-US"/>
        </w:rPr>
        <w:t>M</w:t>
      </w:r>
      <w:r w:rsidRPr="009B6F32">
        <w:rPr>
          <w:lang w:val="en-US"/>
        </w:rPr>
        <w:t>ulti-slot PDCCH monitoring</w:t>
      </w:r>
      <w:r>
        <w:rPr>
          <w:lang w:val="en-US"/>
        </w:rPr>
        <w:t xml:space="preserve"> according to </w:t>
      </w:r>
      <w:r w:rsidRPr="004A4BDC">
        <w:t>Y</w:t>
      </w:r>
      <w:r w:rsidRPr="00A36C4F">
        <w:rPr>
          <w:vertAlign w:val="subscript"/>
        </w:rPr>
        <w:t>group1</w:t>
      </w:r>
      <w:r>
        <w:rPr>
          <w:lang w:val="en-US"/>
        </w:rPr>
        <w:t xml:space="preserve"> </w:t>
      </w:r>
      <w:r w:rsidRPr="00EF0916">
        <w:rPr>
          <w:rFonts w:ascii="Cambria Math" w:hAnsi="Cambria Math"/>
        </w:rPr>
        <w:t>≤</w:t>
      </w:r>
      <w:r w:rsidRPr="00EF0916">
        <w:rPr>
          <w:rFonts w:ascii="Cambria Math" w:hAnsi="Cambria Math"/>
          <w:lang w:val="en-US"/>
        </w:rPr>
        <w:t xml:space="preserve"> </w:t>
      </w:r>
      <w:r>
        <w:rPr>
          <w:lang w:val="en-US"/>
        </w:rPr>
        <w:t xml:space="preserve">1 slot, assuming Case 2 monitoring </w:t>
      </w:r>
      <w:r w:rsidR="0008521D">
        <w:rPr>
          <w:lang w:val="en-US"/>
        </w:rPr>
        <w:t xml:space="preserve">(Rel-15 FG 3-5) </w:t>
      </w:r>
      <w:r>
        <w:rPr>
          <w:lang w:val="en-US"/>
        </w:rPr>
        <w:t>within a slot.</w:t>
      </w:r>
    </w:p>
    <w:p w14:paraId="33CC26E9" w14:textId="77777777" w:rsidR="00043E8E" w:rsidRPr="0045078F" w:rsidRDefault="00043E8E" w:rsidP="00043E8E">
      <w:pPr>
        <w:pStyle w:val="BodyText"/>
        <w:rPr>
          <w:b/>
          <w:bCs/>
          <w:u w:val="single"/>
        </w:rPr>
      </w:pPr>
      <w:r>
        <w:rPr>
          <w:b/>
          <w:bCs/>
          <w:u w:val="single"/>
        </w:rPr>
        <w:t xml:space="preserve">Case of </w:t>
      </w:r>
      <w:r w:rsidRPr="00321734">
        <w:rPr>
          <w:b/>
          <w:bCs/>
          <w:u w:val="single"/>
        </w:rPr>
        <w:t>Y</w:t>
      </w:r>
      <w:r w:rsidRPr="00321734">
        <w:rPr>
          <w:b/>
          <w:bCs/>
          <w:u w:val="single"/>
          <w:vertAlign w:val="subscript"/>
        </w:rPr>
        <w:t>group1</w:t>
      </w:r>
      <w:r w:rsidRPr="0045078F">
        <w:rPr>
          <w:b/>
          <w:bCs/>
          <w:u w:val="single"/>
        </w:rPr>
        <w:t xml:space="preserve"> </w:t>
      </w:r>
      <w:r w:rsidRPr="0045078F">
        <w:rPr>
          <w:rFonts w:ascii="Cambria Math" w:hAnsi="Cambria Math"/>
          <w:b/>
          <w:bCs/>
          <w:u w:val="single"/>
        </w:rPr>
        <w:t xml:space="preserve">&gt; </w:t>
      </w:r>
      <w:r w:rsidRPr="0045078F">
        <w:rPr>
          <w:b/>
          <w:bCs/>
          <w:u w:val="single"/>
        </w:rPr>
        <w:t>1 slot</w:t>
      </w:r>
    </w:p>
    <w:p w14:paraId="39FD81B3" w14:textId="3E5CACC3" w:rsidR="00043E8E" w:rsidRDefault="00043E8E" w:rsidP="00043E8E">
      <w:pPr>
        <w:pStyle w:val="BodyText"/>
      </w:pPr>
      <w:r>
        <w:t>If more than one slot within each X-slot window is available for the network to distribute the USS for different UEs across different slots, PDCCH load congestion can be avoided while accounting for the latency requirements of the UEs. This is illustrated in</w:t>
      </w:r>
      <w:r w:rsidR="00895C10">
        <w:t xml:space="preserve"> </w:t>
      </w:r>
      <w:r w:rsidR="00895C10">
        <w:fldChar w:fldCharType="begin"/>
      </w:r>
      <w:r w:rsidR="00895C10">
        <w:instrText xml:space="preserve"> REF _Ref87014675 \h </w:instrText>
      </w:r>
      <w:r w:rsidR="00895C10">
        <w:fldChar w:fldCharType="separate"/>
      </w:r>
      <w:r w:rsidR="00357B6D" w:rsidRPr="009B6F32">
        <w:t xml:space="preserve">Figure </w:t>
      </w:r>
      <w:r w:rsidR="00357B6D">
        <w:rPr>
          <w:noProof/>
        </w:rPr>
        <w:t>5</w:t>
      </w:r>
      <w:r w:rsidR="00895C10">
        <w:fldChar w:fldCharType="end"/>
      </w:r>
      <w:r>
        <w:t xml:space="preserve">. Furthermore, with additional PDCCH resource across multiple slots, intra-slot monitoring capability </w:t>
      </w:r>
      <w:r w:rsidR="0008521D">
        <w:t xml:space="preserve">according to Rel-15 FG 3-1 </w:t>
      </w:r>
      <w:r>
        <w:t>can be set as the minimum requirement.</w:t>
      </w:r>
    </w:p>
    <w:p w14:paraId="4D658DB0" w14:textId="77777777" w:rsidR="00043E8E" w:rsidRDefault="00043E8E" w:rsidP="00043E8E">
      <w:pPr>
        <w:pStyle w:val="BodyText"/>
      </w:pPr>
    </w:p>
    <w:p w14:paraId="4BF974B9" w14:textId="7FC978BC" w:rsidR="00043E8E" w:rsidRPr="00527D78" w:rsidRDefault="00043E8E" w:rsidP="00043E8E">
      <w:pPr>
        <w:pStyle w:val="Proposal"/>
        <w:overflowPunct w:val="0"/>
        <w:autoSpaceDE w:val="0"/>
        <w:autoSpaceDN w:val="0"/>
        <w:adjustRightInd w:val="0"/>
        <w:spacing w:line="240" w:lineRule="auto"/>
        <w:textAlignment w:val="baseline"/>
        <w:rPr>
          <w:rFonts w:eastAsiaTheme="minorEastAsia"/>
        </w:rPr>
      </w:pPr>
      <w:bookmarkStart w:id="43" w:name="_Toc87014515"/>
      <w:r>
        <w:rPr>
          <w:rFonts w:cs="Arial"/>
          <w:szCs w:val="20"/>
          <w:lang w:eastAsia="x-none"/>
        </w:rPr>
        <w:t xml:space="preserve">For multi-slot PDCCH monitoring with 480/960 kHz SCS, intra-slot PDCCH monitoring capability </w:t>
      </w:r>
      <w:r w:rsidR="0008521D">
        <w:rPr>
          <w:rFonts w:cs="Arial"/>
          <w:szCs w:val="20"/>
          <w:lang w:eastAsia="x-none"/>
        </w:rPr>
        <w:t>according to Rel-15 FG 3-1</w:t>
      </w:r>
      <w:r>
        <w:rPr>
          <w:rFonts w:cs="Arial"/>
          <w:szCs w:val="20"/>
          <w:lang w:eastAsia="x-none"/>
        </w:rPr>
        <w:t xml:space="preserve"> can be considered as the minimum UE requirement if </w:t>
      </w:r>
      <w:r w:rsidRPr="004A4BDC">
        <w:t>Y</w:t>
      </w:r>
      <w:r w:rsidRPr="00A36C4F">
        <w:rPr>
          <w:vertAlign w:val="subscript"/>
        </w:rPr>
        <w:t>group1</w:t>
      </w:r>
      <w:r>
        <w:rPr>
          <w:rFonts w:cs="Arial"/>
          <w:szCs w:val="20"/>
          <w:lang w:eastAsia="x-none"/>
        </w:rPr>
        <w:t xml:space="preserve"> </w:t>
      </w:r>
      <w:r>
        <w:rPr>
          <w:rFonts w:ascii="Cambria Math" w:hAnsi="Cambria Math"/>
        </w:rPr>
        <w:t>&gt;</w:t>
      </w:r>
      <w:r w:rsidRPr="00F261E7">
        <w:rPr>
          <w:rFonts w:cs="Arial"/>
          <w:szCs w:val="20"/>
          <w:lang w:eastAsia="x-none"/>
        </w:rPr>
        <w:t xml:space="preserve"> </w:t>
      </w:r>
      <w:r>
        <w:rPr>
          <w:rFonts w:cs="Arial"/>
          <w:szCs w:val="20"/>
          <w:lang w:eastAsia="x-none"/>
        </w:rPr>
        <w:t>1 slot</w:t>
      </w:r>
      <w:r>
        <w:rPr>
          <w:rFonts w:eastAsiaTheme="minorEastAsia"/>
        </w:rPr>
        <w:t>.</w:t>
      </w:r>
      <w:bookmarkEnd w:id="43"/>
    </w:p>
    <w:p w14:paraId="3BFFCA9A" w14:textId="28BF8802" w:rsidR="00043E8E" w:rsidRDefault="00043E8E" w:rsidP="00043E8E">
      <w:pPr>
        <w:pStyle w:val="BodyText"/>
        <w:spacing w:before="120"/>
      </w:pPr>
      <w:r w:rsidRPr="004548B2">
        <w:t xml:space="preserve"> </w:t>
      </w:r>
      <w:r w:rsidR="00F4128E" w:rsidRPr="00F4128E">
        <w:rPr>
          <w:noProof/>
        </w:rPr>
        <w:drawing>
          <wp:inline distT="0" distB="0" distL="0" distR="0" wp14:anchorId="361BA2BC" wp14:editId="4A01B52C">
            <wp:extent cx="612076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42645"/>
                    </a:xfrm>
                    <a:prstGeom prst="rect">
                      <a:avLst/>
                    </a:prstGeom>
                    <a:noFill/>
                    <a:ln>
                      <a:noFill/>
                    </a:ln>
                  </pic:spPr>
                </pic:pic>
              </a:graphicData>
            </a:graphic>
          </wp:inline>
        </w:drawing>
      </w:r>
    </w:p>
    <w:p w14:paraId="5F0C5747" w14:textId="42882E11" w:rsidR="00043E8E" w:rsidRPr="009B6F32" w:rsidRDefault="00043E8E" w:rsidP="00043E8E">
      <w:pPr>
        <w:pStyle w:val="TF"/>
        <w:jc w:val="both"/>
        <w:rPr>
          <w:lang w:val="en-US"/>
        </w:rPr>
      </w:pPr>
      <w:bookmarkStart w:id="44" w:name="_Ref87014675"/>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357B6D">
        <w:rPr>
          <w:noProof/>
          <w:lang w:val="en-US"/>
        </w:rPr>
        <w:t>5</w:t>
      </w:r>
      <w:r w:rsidRPr="009B6F32">
        <w:rPr>
          <w:lang w:val="en-US"/>
        </w:rPr>
        <w:fldChar w:fldCharType="end"/>
      </w:r>
      <w:bookmarkEnd w:id="44"/>
      <w:r w:rsidRPr="009B6F32">
        <w:rPr>
          <w:lang w:val="en-US"/>
        </w:rPr>
        <w:t xml:space="preserve">: </w:t>
      </w:r>
      <w:r>
        <w:rPr>
          <w:lang w:val="en-US"/>
        </w:rPr>
        <w:t>M</w:t>
      </w:r>
      <w:r w:rsidRPr="009B6F32">
        <w:rPr>
          <w:lang w:val="en-US"/>
        </w:rPr>
        <w:t>ulti-slot PDCCH monitoring</w:t>
      </w:r>
      <w:r>
        <w:rPr>
          <w:lang w:val="en-US"/>
        </w:rPr>
        <w:t xml:space="preserve"> according to </w:t>
      </w:r>
      <w:r w:rsidRPr="004A4BDC">
        <w:t>Y</w:t>
      </w:r>
      <w:r w:rsidRPr="00A36C4F">
        <w:rPr>
          <w:vertAlign w:val="subscript"/>
        </w:rPr>
        <w:t>group1</w:t>
      </w:r>
      <w:r>
        <w:rPr>
          <w:lang w:val="en-US"/>
        </w:rPr>
        <w:t xml:space="preserve"> </w:t>
      </w:r>
      <w:r w:rsidR="00895B2A">
        <w:rPr>
          <w:lang w:val="en-US"/>
        </w:rPr>
        <w:t xml:space="preserve">= 2 </w:t>
      </w:r>
      <w:r>
        <w:rPr>
          <w:lang w:val="en-US"/>
        </w:rPr>
        <w:t>slot</w:t>
      </w:r>
      <w:r w:rsidR="00BE7536">
        <w:rPr>
          <w:lang w:val="en-US"/>
        </w:rPr>
        <w:t>s</w:t>
      </w:r>
      <w:r>
        <w:rPr>
          <w:lang w:val="en-US"/>
        </w:rPr>
        <w:t xml:space="preserve">, assuming </w:t>
      </w:r>
      <w:r w:rsidR="005519AA">
        <w:rPr>
          <w:rFonts w:cs="Arial"/>
          <w:szCs w:val="20"/>
        </w:rPr>
        <w:t>FG 3-</w:t>
      </w:r>
      <w:proofErr w:type="gramStart"/>
      <w:r w:rsidR="005519AA">
        <w:rPr>
          <w:rFonts w:cs="Arial"/>
          <w:szCs w:val="20"/>
        </w:rPr>
        <w:t xml:space="preserve">1 </w:t>
      </w:r>
      <w:r>
        <w:rPr>
          <w:lang w:val="en-US"/>
        </w:rPr>
        <w:t xml:space="preserve"> monitoring</w:t>
      </w:r>
      <w:proofErr w:type="gramEnd"/>
      <w:r>
        <w:rPr>
          <w:lang w:val="en-US"/>
        </w:rPr>
        <w:t xml:space="preserve"> within a slot</w:t>
      </w:r>
      <w:r w:rsidRPr="00697E8F">
        <w:t>.</w:t>
      </w:r>
    </w:p>
    <w:p w14:paraId="588FD99D" w14:textId="2A3D97D0" w:rsidR="00E4303D" w:rsidRDefault="00E4303D" w:rsidP="00E4303D">
      <w:pPr>
        <w:pStyle w:val="Heading3"/>
      </w:pPr>
      <w:bookmarkStart w:id="45" w:name="_Toc86845010"/>
      <w:r>
        <w:t>2.1.4</w:t>
      </w:r>
      <w:r>
        <w:tab/>
      </w:r>
      <w:r w:rsidR="00591574">
        <w:t xml:space="preserve">USS </w:t>
      </w:r>
      <w:r>
        <w:t xml:space="preserve">PDCCH overbooking </w:t>
      </w:r>
      <w:r w:rsidR="00591574">
        <w:t xml:space="preserve">and </w:t>
      </w:r>
      <w:r>
        <w:t>dropping</w:t>
      </w:r>
      <w:r w:rsidR="00D70288">
        <w:t xml:space="preserve"> on </w:t>
      </w:r>
      <w:r w:rsidR="005D311B">
        <w:t xml:space="preserve">a </w:t>
      </w:r>
      <w:proofErr w:type="spellStart"/>
      <w:r w:rsidR="00D70288">
        <w:t>PCell</w:t>
      </w:r>
      <w:proofErr w:type="spellEnd"/>
      <w:r w:rsidR="00D70288">
        <w:t>/</w:t>
      </w:r>
      <w:proofErr w:type="spellStart"/>
      <w:r w:rsidR="00D70288">
        <w:t>PSCell</w:t>
      </w:r>
      <w:bookmarkEnd w:id="45"/>
      <w:proofErr w:type="spellEnd"/>
    </w:p>
    <w:p w14:paraId="0B735E66" w14:textId="1341D444" w:rsidR="00C01771" w:rsidRDefault="00055AD8" w:rsidP="00055AD8">
      <w:pPr>
        <w:rPr>
          <w:lang w:val="en-GB" w:eastAsia="ja-JP"/>
        </w:rPr>
      </w:pPr>
      <w:r w:rsidRPr="00055AD8">
        <w:rPr>
          <w:lang w:val="en-GB" w:eastAsia="ja-JP"/>
        </w:rPr>
        <w:t>In NR Rel-15</w:t>
      </w:r>
      <w:r w:rsidR="00C01771">
        <w:rPr>
          <w:lang w:val="en-GB" w:eastAsia="ja-JP"/>
        </w:rPr>
        <w:t xml:space="preserve"> specs</w:t>
      </w:r>
      <w:r w:rsidRPr="00055AD8">
        <w:rPr>
          <w:lang w:val="en-GB" w:eastAsia="ja-JP"/>
        </w:rPr>
        <w:t xml:space="preserve">, </w:t>
      </w:r>
      <w:r w:rsidR="00C01771">
        <w:rPr>
          <w:lang w:val="en-GB" w:eastAsia="ja-JP"/>
        </w:rPr>
        <w:t xml:space="preserve">the network ensures </w:t>
      </w:r>
      <w:r w:rsidR="00CE02F2" w:rsidRPr="00CE02F2">
        <w:rPr>
          <w:lang w:val="en-GB" w:eastAsia="ja-JP"/>
        </w:rPr>
        <w:t>the number of monitored PDCCH candidate</w:t>
      </w:r>
      <w:r w:rsidR="005C4E05">
        <w:rPr>
          <w:lang w:val="en-GB" w:eastAsia="ja-JP"/>
        </w:rPr>
        <w:t>s</w:t>
      </w:r>
      <w:r w:rsidR="00CE02F2" w:rsidRPr="00CE02F2">
        <w:rPr>
          <w:lang w:val="en-GB" w:eastAsia="ja-JP"/>
        </w:rPr>
        <w:t xml:space="preserve"> and </w:t>
      </w:r>
      <w:r w:rsidR="00245676" w:rsidRPr="00CE02F2">
        <w:rPr>
          <w:lang w:val="en-GB" w:eastAsia="ja-JP"/>
        </w:rPr>
        <w:t xml:space="preserve">the number </w:t>
      </w:r>
      <w:r w:rsidR="00245676">
        <w:rPr>
          <w:lang w:val="en-GB" w:eastAsia="ja-JP"/>
        </w:rPr>
        <w:t xml:space="preserve">of </w:t>
      </w:r>
      <w:r w:rsidR="00CE02F2" w:rsidRPr="00CE02F2">
        <w:rPr>
          <w:lang w:val="en-GB" w:eastAsia="ja-JP"/>
        </w:rPr>
        <w:t>non-overlapped CCE</w:t>
      </w:r>
      <w:r w:rsidR="007816A9">
        <w:rPr>
          <w:lang w:val="en-GB" w:eastAsia="ja-JP"/>
        </w:rPr>
        <w:t>s</w:t>
      </w:r>
      <w:r w:rsidR="00CE02F2" w:rsidRPr="00CE02F2">
        <w:rPr>
          <w:lang w:val="en-GB" w:eastAsia="ja-JP"/>
        </w:rPr>
        <w:t xml:space="preserve"> for configured CSS sets per slot </w:t>
      </w:r>
      <w:r w:rsidR="000D30D6">
        <w:rPr>
          <w:lang w:val="en-GB" w:eastAsia="ja-JP"/>
        </w:rPr>
        <w:t xml:space="preserve">do </w:t>
      </w:r>
      <w:r w:rsidR="00CE02F2" w:rsidRPr="00CE02F2">
        <w:rPr>
          <w:lang w:val="en-GB" w:eastAsia="ja-JP"/>
        </w:rPr>
        <w:t xml:space="preserve">not exceed the </w:t>
      </w:r>
      <w:r w:rsidR="000D30D6">
        <w:rPr>
          <w:lang w:val="en-GB" w:eastAsia="ja-JP"/>
        </w:rPr>
        <w:t xml:space="preserve">UE capabilities </w:t>
      </w:r>
      <w:r w:rsidR="00CE02F2" w:rsidRPr="00CE02F2">
        <w:rPr>
          <w:lang w:val="en-GB" w:eastAsia="ja-JP"/>
        </w:rPr>
        <w:t xml:space="preserve">per slot. PDCCH monitoring overbooking is not supported for </w:t>
      </w:r>
      <w:r w:rsidR="00D026D4">
        <w:rPr>
          <w:lang w:val="en-GB" w:eastAsia="ja-JP"/>
        </w:rPr>
        <w:t xml:space="preserve">an </w:t>
      </w:r>
      <w:proofErr w:type="spellStart"/>
      <w:r w:rsidR="00D026D4">
        <w:rPr>
          <w:lang w:val="en-GB" w:eastAsia="ja-JP"/>
        </w:rPr>
        <w:t>SCell</w:t>
      </w:r>
      <w:proofErr w:type="spellEnd"/>
      <w:r w:rsidR="00940747">
        <w:rPr>
          <w:lang w:val="en-GB" w:eastAsia="ja-JP"/>
        </w:rPr>
        <w:t>:</w:t>
      </w:r>
    </w:p>
    <w:p w14:paraId="507191E3" w14:textId="745D1C81" w:rsidR="00055AD8" w:rsidRPr="00055AD8" w:rsidRDefault="00055AD8" w:rsidP="007B6808">
      <w:pPr>
        <w:ind w:left="567"/>
        <w:rPr>
          <w:lang w:val="en-GB" w:eastAsia="ja-JP"/>
        </w:rPr>
      </w:pPr>
      <w:r w:rsidRPr="00055AD8">
        <w:rPr>
          <w:lang w:val="en-GB" w:eastAsia="ja-JP"/>
        </w:rPr>
        <w:t>A UE does not expect to be configured CSS sets that result to corresponding total, or per scheduled cell, numbers of monitored PDCCH candidates and non-overlapped CCEs per slot that exceed the corresponding maximum numbers per slot.</w:t>
      </w:r>
    </w:p>
    <w:p w14:paraId="7B636184" w14:textId="1D3BA14D" w:rsidR="00E4303D" w:rsidRDefault="00055AD8" w:rsidP="007B6808">
      <w:pPr>
        <w:ind w:left="567"/>
        <w:rPr>
          <w:lang w:val="en-GB" w:eastAsia="ja-JP"/>
        </w:rPr>
      </w:pPr>
      <w:r w:rsidRPr="00055AD8">
        <w:rPr>
          <w:lang w:val="en-GB" w:eastAsia="ja-JP"/>
        </w:rPr>
        <w:t xml:space="preserve">For same cell scheduling or for cross-carrier scheduling where a scheduling cell and scheduled cell(s) have DL BWPs with same SCS configuration  </w:t>
      </w:r>
      <m:oMath>
        <m:r>
          <w:rPr>
            <w:rFonts w:ascii="Cambria Math" w:hAnsi="Cambria Math"/>
            <w:lang w:val="en-GB" w:eastAsia="ja-JP"/>
          </w:rPr>
          <m:t>μ</m:t>
        </m:r>
      </m:oMath>
      <w:r w:rsidRPr="00055AD8">
        <w:rPr>
          <w:lang w:val="en-GB" w:eastAsia="ja-JP"/>
        </w:rPr>
        <w:t xml:space="preserve">, a UE does not expect </w:t>
      </w:r>
      <w:proofErr w:type="gramStart"/>
      <w:r w:rsidRPr="00055AD8">
        <w:rPr>
          <w:lang w:val="en-GB" w:eastAsia="ja-JP"/>
        </w:rPr>
        <w:t>a number of</w:t>
      </w:r>
      <w:proofErr w:type="gramEnd"/>
      <w:r w:rsidRPr="00055AD8">
        <w:rPr>
          <w:lang w:val="en-GB" w:eastAsia="ja-JP"/>
        </w:rPr>
        <w:t xml:space="preserve"> PDCCH candidates, and a number of corresponding non-overlapped CCEs per slot on a secondary cell to be larger than the corresponding numbers that the UE is capable of monitoring on the secondary cell per slot.</w:t>
      </w:r>
    </w:p>
    <w:p w14:paraId="13A7D760" w14:textId="2C9D4DE9" w:rsidR="007B6808" w:rsidRDefault="00FA4D55" w:rsidP="00055AD8">
      <w:pPr>
        <w:rPr>
          <w:rFonts w:cs="Arial"/>
          <w:szCs w:val="20"/>
          <w:lang w:eastAsia="x-none"/>
        </w:rPr>
      </w:pPr>
      <w:r>
        <w:rPr>
          <w:rFonts w:cs="Arial"/>
          <w:szCs w:val="20"/>
          <w:lang w:eastAsia="x-none"/>
        </w:rPr>
        <w:t xml:space="preserve">For multi-slot PDCCH monitoring with 480/960 kHz SCS, </w:t>
      </w:r>
      <w:r w:rsidR="00940747">
        <w:rPr>
          <w:rFonts w:cs="Arial"/>
          <w:szCs w:val="20"/>
          <w:lang w:eastAsia="x-none"/>
        </w:rPr>
        <w:t>both principles should be applied</w:t>
      </w:r>
      <w:r w:rsidR="00733482">
        <w:rPr>
          <w:rFonts w:cs="Arial"/>
          <w:szCs w:val="20"/>
          <w:lang w:eastAsia="x-none"/>
        </w:rPr>
        <w:t xml:space="preserve">. </w:t>
      </w:r>
    </w:p>
    <w:p w14:paraId="2BE112C4" w14:textId="78B93E2F" w:rsidR="00A20D7D" w:rsidRDefault="00A20D7D" w:rsidP="00A20D7D">
      <w:pPr>
        <w:pStyle w:val="Proposal"/>
        <w:overflowPunct w:val="0"/>
        <w:autoSpaceDE w:val="0"/>
        <w:autoSpaceDN w:val="0"/>
        <w:adjustRightInd w:val="0"/>
        <w:spacing w:after="0" w:line="240" w:lineRule="auto"/>
        <w:textAlignment w:val="baseline"/>
        <w:rPr>
          <w:rFonts w:eastAsiaTheme="minorEastAsia"/>
        </w:rPr>
      </w:pPr>
      <w:bookmarkStart w:id="46" w:name="_Toc87014516"/>
      <w:r>
        <w:rPr>
          <w:rFonts w:cs="Arial"/>
          <w:szCs w:val="20"/>
          <w:lang w:eastAsia="x-none"/>
        </w:rPr>
        <w:t>For multi-slot PDCCH monitoring with 480/960 kHz SCS, the network ensures</w:t>
      </w:r>
      <w:r>
        <w:rPr>
          <w:rFonts w:eastAsiaTheme="minorEastAsia"/>
        </w:rPr>
        <w:t>:</w:t>
      </w:r>
      <w:bookmarkEnd w:id="46"/>
    </w:p>
    <w:p w14:paraId="7499C6DC" w14:textId="132F0E7C" w:rsidR="00A20D7D" w:rsidRPr="00F27BA4" w:rsidRDefault="00A20D7D" w:rsidP="00A20D7D">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47" w:name="_Toc87014517"/>
      <w:r w:rsidRPr="00CE02F2">
        <w:rPr>
          <w:lang w:val="en-GB" w:eastAsia="ja-JP"/>
        </w:rPr>
        <w:t>the number of monitored PDCCH candidate</w:t>
      </w:r>
      <w:r>
        <w:rPr>
          <w:lang w:val="en-GB" w:eastAsia="ja-JP"/>
        </w:rPr>
        <w:t>s</w:t>
      </w:r>
      <w:r w:rsidRPr="00CE02F2">
        <w:rPr>
          <w:lang w:val="en-GB" w:eastAsia="ja-JP"/>
        </w:rPr>
        <w:t xml:space="preserve"> and the number </w:t>
      </w:r>
      <w:r>
        <w:rPr>
          <w:lang w:val="en-GB" w:eastAsia="ja-JP"/>
        </w:rPr>
        <w:t xml:space="preserve">of </w:t>
      </w:r>
      <w:r w:rsidRPr="00CE02F2">
        <w:rPr>
          <w:lang w:val="en-GB" w:eastAsia="ja-JP"/>
        </w:rPr>
        <w:t>non-overlapped CCE</w:t>
      </w:r>
      <w:r>
        <w:rPr>
          <w:lang w:val="en-GB" w:eastAsia="ja-JP"/>
        </w:rPr>
        <w:t>s</w:t>
      </w:r>
      <w:r w:rsidRPr="00CE02F2">
        <w:rPr>
          <w:lang w:val="en-GB" w:eastAsia="ja-JP"/>
        </w:rPr>
        <w:t xml:space="preserve"> for configured CSS sets </w:t>
      </w:r>
      <w:r>
        <w:rPr>
          <w:lang w:val="en-GB" w:eastAsia="ja-JP"/>
        </w:rPr>
        <w:t xml:space="preserve">within a </w:t>
      </w:r>
      <w:r w:rsidRPr="00CE02F2">
        <w:rPr>
          <w:lang w:val="en-GB" w:eastAsia="ja-JP"/>
        </w:rPr>
        <w:t xml:space="preserve">slot </w:t>
      </w:r>
      <w:r>
        <w:rPr>
          <w:lang w:val="en-GB" w:eastAsia="ja-JP"/>
        </w:rPr>
        <w:t xml:space="preserve">group for a </w:t>
      </w:r>
      <w:proofErr w:type="spellStart"/>
      <w:r>
        <w:rPr>
          <w:lang w:val="en-GB" w:eastAsia="ja-JP"/>
        </w:rPr>
        <w:t>PCell</w:t>
      </w:r>
      <w:proofErr w:type="spellEnd"/>
      <w:r>
        <w:rPr>
          <w:lang w:val="en-GB" w:eastAsia="ja-JP"/>
        </w:rPr>
        <w:t>/</w:t>
      </w:r>
      <w:proofErr w:type="spellStart"/>
      <w:r>
        <w:rPr>
          <w:lang w:val="en-GB" w:eastAsia="ja-JP"/>
        </w:rPr>
        <w:t>PSCell</w:t>
      </w:r>
      <w:proofErr w:type="spellEnd"/>
      <w:r>
        <w:rPr>
          <w:lang w:val="en-GB" w:eastAsia="ja-JP"/>
        </w:rPr>
        <w:t xml:space="preserve"> do </w:t>
      </w:r>
      <w:r w:rsidRPr="00CE02F2">
        <w:rPr>
          <w:lang w:val="en-GB" w:eastAsia="ja-JP"/>
        </w:rPr>
        <w:t xml:space="preserve">not exceed the </w:t>
      </w:r>
      <w:r>
        <w:rPr>
          <w:lang w:val="en-GB" w:eastAsia="ja-JP"/>
        </w:rPr>
        <w:t xml:space="preserve">UE capabilities </w:t>
      </w:r>
      <w:r w:rsidRPr="00CE02F2">
        <w:rPr>
          <w:lang w:val="en-GB" w:eastAsia="ja-JP"/>
        </w:rPr>
        <w:t>per slot</w:t>
      </w:r>
      <w:r>
        <w:rPr>
          <w:lang w:val="en-GB" w:eastAsia="ja-JP"/>
        </w:rPr>
        <w:t xml:space="preserve"> group</w:t>
      </w:r>
      <w:r>
        <w:rPr>
          <w:rFonts w:eastAsiaTheme="minorEastAsia"/>
        </w:rPr>
        <w:t>; and</w:t>
      </w:r>
      <w:bookmarkEnd w:id="47"/>
    </w:p>
    <w:p w14:paraId="4A6EE812" w14:textId="0E2C0D55" w:rsidR="00A20D7D" w:rsidRPr="00527D78" w:rsidRDefault="00A20D7D" w:rsidP="00A20D7D">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48" w:name="_Toc87014518"/>
      <w:r w:rsidRPr="00CE02F2">
        <w:rPr>
          <w:lang w:val="en-GB" w:eastAsia="ja-JP"/>
        </w:rPr>
        <w:t xml:space="preserve">PDCCH monitoring overbooking is not supported for </w:t>
      </w:r>
      <w:r>
        <w:rPr>
          <w:lang w:val="en-GB" w:eastAsia="ja-JP"/>
        </w:rPr>
        <w:t xml:space="preserve">an </w:t>
      </w:r>
      <w:proofErr w:type="spellStart"/>
      <w:r>
        <w:rPr>
          <w:lang w:val="en-GB" w:eastAsia="ja-JP"/>
        </w:rPr>
        <w:t>SC</w:t>
      </w:r>
      <w:r w:rsidRPr="00CE02F2">
        <w:rPr>
          <w:lang w:val="en-GB" w:eastAsia="ja-JP"/>
        </w:rPr>
        <w:t>ell</w:t>
      </w:r>
      <w:proofErr w:type="spellEnd"/>
      <w:r>
        <w:rPr>
          <w:lang w:val="en-GB" w:eastAsia="ja-JP"/>
        </w:rPr>
        <w:t>.</w:t>
      </w:r>
      <w:bookmarkEnd w:id="48"/>
    </w:p>
    <w:p w14:paraId="2A776A0D" w14:textId="27CEBC3F" w:rsidR="00733482" w:rsidRDefault="00733482" w:rsidP="00055AD8">
      <w:pPr>
        <w:rPr>
          <w:rFonts w:cs="Arial"/>
          <w:szCs w:val="20"/>
          <w:lang w:eastAsia="x-none"/>
        </w:rPr>
      </w:pPr>
    </w:p>
    <w:p w14:paraId="3F19AAFB" w14:textId="6D9415CA" w:rsidR="00567D64" w:rsidRDefault="00CA5D0E" w:rsidP="00055AD8">
      <w:pPr>
        <w:rPr>
          <w:lang w:val="en-GB" w:eastAsia="ja-JP"/>
        </w:rPr>
      </w:pPr>
      <w:r w:rsidRPr="00055AD8">
        <w:rPr>
          <w:lang w:val="en-GB" w:eastAsia="ja-JP"/>
        </w:rPr>
        <w:lastRenderedPageBreak/>
        <w:t>In NR Rel-15</w:t>
      </w:r>
      <w:r>
        <w:rPr>
          <w:lang w:val="en-GB" w:eastAsia="ja-JP"/>
        </w:rPr>
        <w:t xml:space="preserve"> specs</w:t>
      </w:r>
      <w:r w:rsidRPr="00055AD8">
        <w:rPr>
          <w:lang w:val="en-GB" w:eastAsia="ja-JP"/>
        </w:rPr>
        <w:t>,</w:t>
      </w:r>
      <w:r>
        <w:rPr>
          <w:lang w:val="en-GB" w:eastAsia="ja-JP"/>
        </w:rPr>
        <w:t xml:space="preserve"> </w:t>
      </w:r>
      <w:r w:rsidR="00EE5443">
        <w:rPr>
          <w:lang w:val="en-GB" w:eastAsia="ja-JP"/>
        </w:rPr>
        <w:t xml:space="preserve">the UE first allocates </w:t>
      </w:r>
      <w:r w:rsidR="00861BDB">
        <w:rPr>
          <w:lang w:val="en-GB" w:eastAsia="ja-JP"/>
        </w:rPr>
        <w:t xml:space="preserve">the monitoring occasions of configured CSS sets </w:t>
      </w:r>
      <w:r w:rsidR="00B65C16">
        <w:rPr>
          <w:lang w:val="en-GB" w:eastAsia="ja-JP"/>
        </w:rPr>
        <w:t>in a slot. T</w:t>
      </w:r>
      <w:r w:rsidR="00AF613F">
        <w:rPr>
          <w:lang w:val="en-GB" w:eastAsia="ja-JP"/>
        </w:rPr>
        <w:t xml:space="preserve">he monitoring occasions of a </w:t>
      </w:r>
      <w:r w:rsidR="00224CFA">
        <w:rPr>
          <w:lang w:val="en-GB" w:eastAsia="ja-JP"/>
        </w:rPr>
        <w:t>USS set</w:t>
      </w:r>
      <w:r w:rsidR="00D533F7">
        <w:rPr>
          <w:lang w:val="en-GB" w:eastAsia="ja-JP"/>
        </w:rPr>
        <w:t xml:space="preserve"> </w:t>
      </w:r>
      <m:oMath>
        <m:r>
          <w:rPr>
            <w:rFonts w:ascii="Cambria Math" w:hAnsi="Cambria Math"/>
            <w:lang w:val="en-GB" w:eastAsia="ja-JP"/>
          </w:rPr>
          <m:t>j</m:t>
        </m:r>
      </m:oMath>
      <w:r w:rsidR="00B65C16">
        <w:rPr>
          <w:rFonts w:eastAsiaTheme="minorEastAsia"/>
          <w:lang w:val="en-GB" w:eastAsia="ja-JP"/>
        </w:rPr>
        <w:t>, starting with the lowest USS set index,</w:t>
      </w:r>
      <w:r w:rsidR="00567D64">
        <w:rPr>
          <w:lang w:val="en-GB" w:eastAsia="ja-JP"/>
        </w:rPr>
        <w:t xml:space="preserve"> </w:t>
      </w:r>
      <w:r w:rsidR="00980013">
        <w:rPr>
          <w:lang w:val="en-GB" w:eastAsia="ja-JP"/>
        </w:rPr>
        <w:t>in a slot are</w:t>
      </w:r>
      <w:r w:rsidR="00567D64">
        <w:rPr>
          <w:lang w:val="en-GB" w:eastAsia="ja-JP"/>
        </w:rPr>
        <w:t xml:space="preserve"> </w:t>
      </w:r>
      <w:r w:rsidR="00D533F7">
        <w:rPr>
          <w:lang w:val="en-GB" w:eastAsia="ja-JP"/>
        </w:rPr>
        <w:t xml:space="preserve">allocated for monitoring by the UE only if </w:t>
      </w:r>
    </w:p>
    <w:p w14:paraId="2E61FA46" w14:textId="2CDFC884" w:rsidR="001C77AB" w:rsidRPr="00D21B0A" w:rsidRDefault="006D3CD5" w:rsidP="00D21B0A">
      <w:pPr>
        <w:pStyle w:val="ListParagraph"/>
        <w:numPr>
          <w:ilvl w:val="0"/>
          <w:numId w:val="26"/>
        </w:numPr>
        <w:spacing w:after="120"/>
        <w:contextualSpacing/>
        <w:rPr>
          <w:rFonts w:ascii="Arial" w:hAnsi="Arial" w:cs="Arial"/>
          <w:sz w:val="20"/>
          <w:szCs w:val="20"/>
          <w:lang w:val="en-GB" w:eastAsia="ja-JP"/>
        </w:rPr>
      </w:pPr>
      <w:r w:rsidRPr="00D21B0A">
        <w:rPr>
          <w:rFonts w:ascii="Arial" w:hAnsi="Arial" w:cs="Arial"/>
          <w:sz w:val="20"/>
          <w:szCs w:val="20"/>
          <w:lang w:val="en-GB" w:eastAsia="ja-JP"/>
        </w:rPr>
        <w:t xml:space="preserve">The </w:t>
      </w:r>
      <w:r w:rsidR="00EE6BAC" w:rsidRPr="00D21B0A">
        <w:rPr>
          <w:rFonts w:ascii="Arial" w:hAnsi="Arial" w:cs="Arial"/>
          <w:sz w:val="20"/>
          <w:szCs w:val="20"/>
          <w:lang w:val="en-GB" w:eastAsia="ja-JP"/>
        </w:rPr>
        <w:t>addition of the</w:t>
      </w:r>
      <w:r w:rsidRPr="00D21B0A">
        <w:rPr>
          <w:rFonts w:ascii="Arial" w:hAnsi="Arial" w:cs="Arial"/>
          <w:sz w:val="20"/>
          <w:szCs w:val="20"/>
          <w:lang w:val="en-GB" w:eastAsia="ja-JP"/>
        </w:rPr>
        <w:t xml:space="preserve"> number of PDCCH candidates </w:t>
      </w:r>
      <w:r w:rsidR="00EE6BAC" w:rsidRPr="00D21B0A">
        <w:rPr>
          <w:rFonts w:ascii="Arial" w:hAnsi="Arial" w:cs="Arial"/>
          <w:sz w:val="20"/>
          <w:szCs w:val="20"/>
          <w:lang w:val="en-GB" w:eastAsia="ja-JP"/>
        </w:rPr>
        <w:t xml:space="preserve">in USS set </w:t>
      </w:r>
      <m:oMath>
        <m:r>
          <w:rPr>
            <w:rFonts w:ascii="Cambria Math" w:hAnsi="Cambria Math" w:cs="Arial"/>
            <w:sz w:val="20"/>
            <w:szCs w:val="20"/>
            <w:lang w:val="en-GB" w:eastAsia="ja-JP"/>
          </w:rPr>
          <m:t>j</m:t>
        </m:r>
      </m:oMath>
      <w:r w:rsidR="00EE6BAC" w:rsidRPr="00D21B0A">
        <w:rPr>
          <w:rFonts w:ascii="Arial" w:hAnsi="Arial" w:cs="Arial"/>
          <w:sz w:val="20"/>
          <w:szCs w:val="20"/>
          <w:lang w:val="en-GB" w:eastAsia="ja-JP"/>
        </w:rPr>
        <w:t xml:space="preserve"> </w:t>
      </w:r>
      <w:r w:rsidR="00A23980" w:rsidRPr="00D21B0A">
        <w:rPr>
          <w:rFonts w:ascii="Arial" w:hAnsi="Arial" w:cs="Arial"/>
          <w:sz w:val="20"/>
          <w:szCs w:val="20"/>
          <w:lang w:val="en-GB" w:eastAsia="ja-JP"/>
        </w:rPr>
        <w:t>does not cause UE BD capability to be exceeded; and</w:t>
      </w:r>
    </w:p>
    <w:p w14:paraId="201C3603" w14:textId="307C767C" w:rsidR="00A23980" w:rsidRPr="00D21B0A" w:rsidRDefault="00A23980" w:rsidP="00D21B0A">
      <w:pPr>
        <w:pStyle w:val="ListParagraph"/>
        <w:numPr>
          <w:ilvl w:val="0"/>
          <w:numId w:val="26"/>
        </w:numPr>
        <w:spacing w:after="120"/>
        <w:contextualSpacing/>
        <w:rPr>
          <w:rFonts w:ascii="Arial" w:hAnsi="Arial" w:cs="Arial"/>
          <w:sz w:val="20"/>
          <w:szCs w:val="20"/>
          <w:lang w:val="en-GB" w:eastAsia="ja-JP"/>
        </w:rPr>
      </w:pPr>
      <w:r w:rsidRPr="00D21B0A">
        <w:rPr>
          <w:rFonts w:ascii="Arial" w:hAnsi="Arial" w:cs="Arial"/>
          <w:sz w:val="20"/>
          <w:szCs w:val="20"/>
          <w:lang w:val="en-GB" w:eastAsia="ja-JP"/>
        </w:rPr>
        <w:t xml:space="preserve">The addition of the additional number of </w:t>
      </w:r>
      <w:r w:rsidR="007816A9" w:rsidRPr="00D21B0A">
        <w:rPr>
          <w:rFonts w:ascii="Arial" w:hAnsi="Arial" w:cs="Arial"/>
          <w:sz w:val="20"/>
          <w:szCs w:val="20"/>
          <w:lang w:val="en-GB" w:eastAsia="ja-JP"/>
        </w:rPr>
        <w:t>non-overlapping CCEs</w:t>
      </w:r>
      <w:r w:rsidR="00011DEF" w:rsidRPr="00D21B0A">
        <w:rPr>
          <w:rFonts w:ascii="Arial" w:hAnsi="Arial" w:cs="Arial"/>
          <w:sz w:val="20"/>
          <w:szCs w:val="20"/>
          <w:lang w:val="en-GB" w:eastAsia="ja-JP"/>
        </w:rPr>
        <w:t xml:space="preserve"> for </w:t>
      </w:r>
      <w:r w:rsidR="004F604A">
        <w:rPr>
          <w:rFonts w:ascii="Arial" w:hAnsi="Arial" w:cs="Arial"/>
          <w:sz w:val="20"/>
          <w:szCs w:val="20"/>
          <w:lang w:val="en-GB" w:eastAsia="ja-JP"/>
        </w:rPr>
        <w:t xml:space="preserve">monitoring </w:t>
      </w:r>
      <w:r w:rsidR="00011DEF" w:rsidRPr="00D21B0A">
        <w:rPr>
          <w:rFonts w:ascii="Arial" w:hAnsi="Arial" w:cs="Arial"/>
          <w:sz w:val="20"/>
          <w:szCs w:val="20"/>
          <w:lang w:val="en-GB" w:eastAsia="ja-JP"/>
        </w:rPr>
        <w:t xml:space="preserve">USS set </w:t>
      </w:r>
      <m:oMath>
        <m:r>
          <w:rPr>
            <w:rFonts w:ascii="Cambria Math" w:hAnsi="Cambria Math" w:cs="Arial"/>
            <w:sz w:val="20"/>
            <w:szCs w:val="20"/>
            <w:lang w:val="en-GB" w:eastAsia="ja-JP"/>
          </w:rPr>
          <m:t>j</m:t>
        </m:r>
      </m:oMath>
      <w:r w:rsidR="00011DEF" w:rsidRPr="00D21B0A">
        <w:rPr>
          <w:rFonts w:ascii="Arial" w:hAnsi="Arial" w:cs="Arial"/>
          <w:sz w:val="20"/>
          <w:szCs w:val="20"/>
          <w:lang w:val="en-GB" w:eastAsia="ja-JP"/>
        </w:rPr>
        <w:t xml:space="preserve"> considering </w:t>
      </w:r>
      <w:r w:rsidR="00CC3A96" w:rsidRPr="00D21B0A">
        <w:rPr>
          <w:rFonts w:ascii="Arial" w:hAnsi="Arial" w:cs="Arial"/>
          <w:sz w:val="20"/>
          <w:szCs w:val="20"/>
          <w:lang w:val="en-GB" w:eastAsia="ja-JP"/>
        </w:rPr>
        <w:t xml:space="preserve">the already allocated PDCCH candidates for monitoring </w:t>
      </w:r>
      <w:r w:rsidR="00D21B0A" w:rsidRPr="00D21B0A">
        <w:rPr>
          <w:rFonts w:ascii="Arial" w:hAnsi="Arial" w:cs="Arial"/>
          <w:sz w:val="20"/>
          <w:szCs w:val="20"/>
          <w:lang w:val="en-GB" w:eastAsia="ja-JP"/>
        </w:rPr>
        <w:t>does not cause UE CCE capability to be exceeded</w:t>
      </w:r>
      <w:r w:rsidR="00290555">
        <w:rPr>
          <w:rFonts w:ascii="Arial" w:hAnsi="Arial" w:cs="Arial"/>
          <w:sz w:val="20"/>
          <w:szCs w:val="20"/>
          <w:lang w:val="en-GB" w:eastAsia="ja-JP"/>
        </w:rPr>
        <w:t>.</w:t>
      </w:r>
    </w:p>
    <w:p w14:paraId="176D11F4" w14:textId="04058F5A" w:rsidR="00EE6BAC" w:rsidRPr="00AF75AF" w:rsidRDefault="00290555" w:rsidP="00AF75AF">
      <w:pPr>
        <w:rPr>
          <w:lang w:val="en-GB" w:eastAsia="ja-JP"/>
        </w:rPr>
      </w:pPr>
      <w:r w:rsidRPr="00AF75AF">
        <w:rPr>
          <w:lang w:val="en-GB" w:eastAsia="ja-JP"/>
        </w:rPr>
        <w:t xml:space="preserve">Once </w:t>
      </w:r>
      <w:r w:rsidR="00776C4C" w:rsidRPr="00AF75AF">
        <w:rPr>
          <w:lang w:val="en-GB" w:eastAsia="ja-JP"/>
        </w:rPr>
        <w:t xml:space="preserve">a USS set </w:t>
      </w:r>
      <m:oMath>
        <m:r>
          <w:rPr>
            <w:rFonts w:ascii="Cambria Math" w:hAnsi="Cambria Math"/>
            <w:lang w:val="en-GB" w:eastAsia="ja-JP"/>
          </w:rPr>
          <m:t>j</m:t>
        </m:r>
      </m:oMath>
      <w:r w:rsidR="00776C4C" w:rsidRPr="00AF75AF">
        <w:rPr>
          <w:lang w:val="en-GB" w:eastAsia="ja-JP"/>
        </w:rPr>
        <w:t xml:space="preserve"> is found to trigger </w:t>
      </w:r>
      <w:r w:rsidR="00AF75AF" w:rsidRPr="00AF75AF">
        <w:rPr>
          <w:lang w:val="en-GB" w:eastAsia="ja-JP"/>
        </w:rPr>
        <w:t xml:space="preserve">against </w:t>
      </w:r>
      <w:r w:rsidR="00776C4C" w:rsidRPr="00AF75AF">
        <w:rPr>
          <w:lang w:val="en-GB" w:eastAsia="ja-JP"/>
        </w:rPr>
        <w:t xml:space="preserve">either of the above UE capability </w:t>
      </w:r>
      <w:r w:rsidR="00AF75AF" w:rsidRPr="00AF75AF">
        <w:rPr>
          <w:lang w:val="en-GB" w:eastAsia="ja-JP"/>
        </w:rPr>
        <w:t>limit</w:t>
      </w:r>
      <w:r w:rsidR="00FF2409">
        <w:rPr>
          <w:lang w:val="en-GB" w:eastAsia="ja-JP"/>
        </w:rPr>
        <w:t>s</w:t>
      </w:r>
      <w:r w:rsidR="00AF75AF" w:rsidRPr="00AF75AF">
        <w:rPr>
          <w:lang w:val="en-GB" w:eastAsia="ja-JP"/>
        </w:rPr>
        <w:t xml:space="preserve">, the UE terminates </w:t>
      </w:r>
      <w:r w:rsidR="00AF75AF">
        <w:rPr>
          <w:lang w:val="en-GB" w:eastAsia="ja-JP"/>
        </w:rPr>
        <w:t xml:space="preserve">the </w:t>
      </w:r>
      <w:r w:rsidR="00AF75AF" w:rsidRPr="00AF75AF">
        <w:rPr>
          <w:lang w:val="en-GB" w:eastAsia="ja-JP"/>
        </w:rPr>
        <w:t>monitori</w:t>
      </w:r>
      <w:r w:rsidR="00AF75AF">
        <w:rPr>
          <w:lang w:val="en-GB" w:eastAsia="ja-JP"/>
        </w:rPr>
        <w:t xml:space="preserve">ng </w:t>
      </w:r>
      <w:r w:rsidR="00471B28">
        <w:rPr>
          <w:lang w:val="en-GB" w:eastAsia="ja-JP"/>
        </w:rPr>
        <w:t xml:space="preserve">occasion allocation procedure. </w:t>
      </w:r>
      <w:r w:rsidR="00C9220A">
        <w:rPr>
          <w:lang w:val="en-GB" w:eastAsia="ja-JP"/>
        </w:rPr>
        <w:t>Consequently</w:t>
      </w:r>
      <w:r w:rsidR="00471B28">
        <w:rPr>
          <w:lang w:val="en-GB" w:eastAsia="ja-JP"/>
        </w:rPr>
        <w:t xml:space="preserve">, all USS sets with index </w:t>
      </w:r>
      <m:oMath>
        <m:r>
          <w:rPr>
            <w:rFonts w:ascii="Cambria Math" w:hAnsi="Cambria Math"/>
            <w:lang w:val="en-GB" w:eastAsia="ja-JP"/>
          </w:rPr>
          <m:t>k≥j</m:t>
        </m:r>
      </m:oMath>
      <w:r w:rsidR="00471B28">
        <w:rPr>
          <w:rFonts w:eastAsiaTheme="minorEastAsia"/>
          <w:lang w:val="en-GB" w:eastAsia="ja-JP"/>
        </w:rPr>
        <w:t xml:space="preserve"> are not monitored by the UE.</w:t>
      </w:r>
    </w:p>
    <w:p w14:paraId="0D5C64F1" w14:textId="4AD55642" w:rsidR="00EE6BAC" w:rsidRPr="00AF75AF" w:rsidRDefault="004A0829" w:rsidP="00AF75AF">
      <w:pPr>
        <w:rPr>
          <w:lang w:val="en-GB" w:eastAsia="ja-JP"/>
        </w:rPr>
      </w:pPr>
      <w:r>
        <w:rPr>
          <w:rFonts w:cs="Arial"/>
          <w:szCs w:val="20"/>
          <w:lang w:eastAsia="x-none"/>
        </w:rPr>
        <w:t>For multi-slot PDCCH monitoring with 480/960 kHz SCS, the same principles should be applied.</w:t>
      </w:r>
    </w:p>
    <w:p w14:paraId="4C8F4D9A" w14:textId="1773FCAC" w:rsidR="00287E91" w:rsidRPr="00C6562F" w:rsidRDefault="00287E91" w:rsidP="00287E91">
      <w:pPr>
        <w:pStyle w:val="Proposal"/>
        <w:overflowPunct w:val="0"/>
        <w:autoSpaceDE w:val="0"/>
        <w:autoSpaceDN w:val="0"/>
        <w:adjustRightInd w:val="0"/>
        <w:spacing w:after="0" w:line="240" w:lineRule="auto"/>
        <w:textAlignment w:val="baseline"/>
        <w:rPr>
          <w:rFonts w:eastAsiaTheme="minorEastAsia"/>
        </w:rPr>
      </w:pPr>
      <w:bookmarkStart w:id="49" w:name="_Toc87014519"/>
      <w:r w:rsidRPr="00C6562F">
        <w:rPr>
          <w:rFonts w:cs="Arial"/>
          <w:szCs w:val="20"/>
          <w:lang w:eastAsia="x-none"/>
        </w:rPr>
        <w:t>For multi-slot PDCCH monitoring with 480/960 kHz SCS</w:t>
      </w:r>
      <w:r w:rsidR="00052546">
        <w:rPr>
          <w:rFonts w:cs="Arial"/>
          <w:szCs w:val="20"/>
          <w:lang w:eastAsia="x-none"/>
        </w:rPr>
        <w:t xml:space="preserve"> on a </w:t>
      </w:r>
      <w:proofErr w:type="spellStart"/>
      <w:r w:rsidR="00052546">
        <w:rPr>
          <w:rFonts w:cs="Arial"/>
          <w:szCs w:val="20"/>
          <w:lang w:eastAsia="x-none"/>
        </w:rPr>
        <w:t>PCell</w:t>
      </w:r>
      <w:proofErr w:type="spellEnd"/>
      <w:r w:rsidR="00052546">
        <w:rPr>
          <w:rFonts w:cs="Arial"/>
          <w:szCs w:val="20"/>
          <w:lang w:eastAsia="x-none"/>
        </w:rPr>
        <w:t>/</w:t>
      </w:r>
      <w:proofErr w:type="spellStart"/>
      <w:r w:rsidR="00052546">
        <w:rPr>
          <w:rFonts w:cs="Arial"/>
          <w:szCs w:val="20"/>
          <w:lang w:eastAsia="x-none"/>
        </w:rPr>
        <w:t>PScell</w:t>
      </w:r>
      <w:proofErr w:type="spellEnd"/>
      <w:r w:rsidRPr="00C6562F">
        <w:rPr>
          <w:rFonts w:cs="Arial"/>
          <w:szCs w:val="20"/>
          <w:lang w:eastAsia="x-none"/>
        </w:rPr>
        <w:t>,</w:t>
      </w:r>
      <w:r w:rsidR="00052546">
        <w:rPr>
          <w:rFonts w:cs="Arial"/>
          <w:szCs w:val="20"/>
          <w:lang w:eastAsia="x-none"/>
        </w:rPr>
        <w:t xml:space="preserve"> the </w:t>
      </w:r>
      <w:r w:rsidR="00052546" w:rsidRPr="00C6562F">
        <w:rPr>
          <w:lang w:val="en-GB" w:eastAsia="ja-JP"/>
        </w:rPr>
        <w:t>UE first allocates the monitoring occasions of</w:t>
      </w:r>
      <w:r w:rsidR="005C0925">
        <w:rPr>
          <w:lang w:val="en-GB" w:eastAsia="ja-JP"/>
        </w:rPr>
        <w:t xml:space="preserve"> all</w:t>
      </w:r>
      <w:r w:rsidR="00052546" w:rsidRPr="00C6562F">
        <w:rPr>
          <w:lang w:val="en-GB" w:eastAsia="ja-JP"/>
        </w:rPr>
        <w:t xml:space="preserve"> configured CSS sets in a slot group</w:t>
      </w:r>
      <w:r w:rsidR="00052546">
        <w:rPr>
          <w:lang w:val="en-GB" w:eastAsia="ja-JP"/>
        </w:rPr>
        <w:t>.</w:t>
      </w:r>
      <w:bookmarkEnd w:id="49"/>
    </w:p>
    <w:p w14:paraId="058CA710" w14:textId="10040378" w:rsidR="003F78DB" w:rsidRDefault="003F78DB" w:rsidP="003F78DB">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50" w:name="_Toc87014520"/>
      <w:r w:rsidRPr="00C6562F">
        <w:rPr>
          <w:lang w:val="en-GB" w:eastAsia="ja-JP"/>
        </w:rPr>
        <w:t xml:space="preserve">The monitoring occasions of a USS set </w:t>
      </w:r>
      <m:oMath>
        <m:r>
          <m:rPr>
            <m:sty m:val="bi"/>
          </m:rPr>
          <w:rPr>
            <w:rFonts w:ascii="Cambria Math" w:hAnsi="Cambria Math"/>
            <w:lang w:val="en-GB" w:eastAsia="ja-JP"/>
          </w:rPr>
          <m:t>j</m:t>
        </m:r>
      </m:oMath>
      <w:r w:rsidRPr="00C6562F">
        <w:rPr>
          <w:rFonts w:eastAsiaTheme="minorEastAsia"/>
          <w:lang w:val="en-GB" w:eastAsia="ja-JP"/>
        </w:rPr>
        <w:t>, starting with the lowest USS set index,</w:t>
      </w:r>
      <w:r w:rsidRPr="00C6562F">
        <w:rPr>
          <w:lang w:val="en-GB" w:eastAsia="ja-JP"/>
        </w:rPr>
        <w:t xml:space="preserve"> in a slot group are allocated for monitoring by the UE only if (1) the </w:t>
      </w:r>
      <w:r w:rsidRPr="00C6562F">
        <w:rPr>
          <w:rFonts w:cs="Arial"/>
          <w:szCs w:val="20"/>
          <w:lang w:val="en-GB" w:eastAsia="ja-JP"/>
        </w:rPr>
        <w:t xml:space="preserve">addition of the number of PDCCH candidates in USS set </w:t>
      </w:r>
      <m:oMath>
        <m:r>
          <m:rPr>
            <m:sty m:val="bi"/>
          </m:rPr>
          <w:rPr>
            <w:rFonts w:ascii="Cambria Math" w:hAnsi="Cambria Math" w:cs="Arial"/>
            <w:szCs w:val="20"/>
            <w:lang w:val="en-GB" w:eastAsia="ja-JP"/>
          </w:rPr>
          <m:t>j</m:t>
        </m:r>
      </m:oMath>
      <w:r w:rsidRPr="00C6562F">
        <w:rPr>
          <w:rFonts w:eastAsiaTheme="minorEastAsia" w:cs="Arial"/>
          <w:szCs w:val="20"/>
          <w:lang w:val="en-GB" w:eastAsia="ja-JP"/>
        </w:rPr>
        <w:t xml:space="preserve">, and (2) the </w:t>
      </w:r>
      <w:r w:rsidRPr="00C6562F">
        <w:rPr>
          <w:rFonts w:cs="Arial"/>
          <w:szCs w:val="20"/>
          <w:lang w:val="en-GB" w:eastAsia="ja-JP"/>
        </w:rPr>
        <w:t xml:space="preserve">addition of the additional number of non-overlapping CCEs for monitoring USS set </w:t>
      </w:r>
      <m:oMath>
        <m:r>
          <m:rPr>
            <m:sty m:val="bi"/>
          </m:rPr>
          <w:rPr>
            <w:rFonts w:ascii="Cambria Math" w:hAnsi="Cambria Math" w:cs="Arial"/>
            <w:szCs w:val="20"/>
            <w:lang w:val="en-GB" w:eastAsia="ja-JP"/>
          </w:rPr>
          <m:t>j</m:t>
        </m:r>
      </m:oMath>
      <w:r w:rsidRPr="00C6562F">
        <w:rPr>
          <w:rFonts w:cs="Arial"/>
          <w:szCs w:val="20"/>
          <w:lang w:val="en-GB" w:eastAsia="ja-JP"/>
        </w:rPr>
        <w:t xml:space="preserve"> considering the already allocated PDCCH candidates for monitoring do not cause UE BD/CCE capabilities per slot group to be exceeded</w:t>
      </w:r>
      <w:r w:rsidRPr="00C6562F">
        <w:rPr>
          <w:rFonts w:eastAsiaTheme="minorEastAsia"/>
        </w:rPr>
        <w:t>.</w:t>
      </w:r>
      <w:bookmarkEnd w:id="50"/>
    </w:p>
    <w:p w14:paraId="4E19BDF4" w14:textId="107EC8E6" w:rsidR="000D664A" w:rsidRPr="000D664A" w:rsidRDefault="000D664A" w:rsidP="00672E28">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51" w:name="_Toc87014521"/>
      <w:r w:rsidRPr="00C6562F">
        <w:rPr>
          <w:lang w:val="en-GB" w:eastAsia="ja-JP"/>
        </w:rPr>
        <w:t xml:space="preserve">Once a USS set </w:t>
      </w:r>
      <m:oMath>
        <m:r>
          <m:rPr>
            <m:sty m:val="bi"/>
          </m:rPr>
          <w:rPr>
            <w:rFonts w:ascii="Cambria Math" w:hAnsi="Cambria Math"/>
            <w:lang w:val="en-GB" w:eastAsia="ja-JP"/>
          </w:rPr>
          <m:t>j</m:t>
        </m:r>
      </m:oMath>
      <w:r w:rsidRPr="00C6562F">
        <w:rPr>
          <w:lang w:val="en-GB" w:eastAsia="ja-JP"/>
        </w:rPr>
        <w:t xml:space="preserve"> is found to trigger against either of the above UE capability limits per slot group, the UE terminates the monitoring occasion allocation procedure. Consequently, all </w:t>
      </w:r>
      <w:r w:rsidR="00DF0B89">
        <w:rPr>
          <w:lang w:val="en-GB" w:eastAsia="ja-JP"/>
        </w:rPr>
        <w:t xml:space="preserve">monitoring occasions of all </w:t>
      </w:r>
      <w:r w:rsidRPr="00C6562F">
        <w:rPr>
          <w:lang w:val="en-GB" w:eastAsia="ja-JP"/>
        </w:rPr>
        <w:t xml:space="preserve">USS sets with index </w:t>
      </w:r>
      <m:oMath>
        <m:r>
          <m:rPr>
            <m:sty m:val="bi"/>
          </m:rPr>
          <w:rPr>
            <w:rFonts w:ascii="Cambria Math" w:hAnsi="Cambria Math"/>
            <w:lang w:val="en-GB" w:eastAsia="ja-JP"/>
          </w:rPr>
          <m:t>k≥j</m:t>
        </m:r>
      </m:oMath>
      <w:r w:rsidRPr="00C6562F">
        <w:rPr>
          <w:rFonts w:eastAsiaTheme="minorEastAsia"/>
          <w:lang w:val="en-GB" w:eastAsia="ja-JP"/>
        </w:rPr>
        <w:t xml:space="preserve"> </w:t>
      </w:r>
      <w:r w:rsidR="00F7572E">
        <w:rPr>
          <w:rFonts w:eastAsiaTheme="minorEastAsia"/>
          <w:lang w:val="en-GB" w:eastAsia="ja-JP"/>
        </w:rPr>
        <w:t xml:space="preserve">for the slot group </w:t>
      </w:r>
      <w:r w:rsidRPr="00C6562F">
        <w:rPr>
          <w:rFonts w:eastAsiaTheme="minorEastAsia"/>
          <w:lang w:val="en-GB" w:eastAsia="ja-JP"/>
        </w:rPr>
        <w:t>are not monitored by the UE</w:t>
      </w:r>
      <w:r w:rsidRPr="000D664A">
        <w:rPr>
          <w:rFonts w:eastAsiaTheme="minorEastAsia"/>
        </w:rPr>
        <w:t>.</w:t>
      </w:r>
      <w:bookmarkEnd w:id="51"/>
    </w:p>
    <w:p w14:paraId="2A9C9DD8" w14:textId="49885EBC" w:rsidR="00287E91" w:rsidRPr="00C6562F" w:rsidRDefault="000D664A" w:rsidP="000D664A">
      <w:pPr>
        <w:pStyle w:val="Proposal"/>
        <w:numPr>
          <w:ilvl w:val="0"/>
          <w:numId w:val="0"/>
        </w:numPr>
        <w:tabs>
          <w:tab w:val="clear" w:pos="1701"/>
        </w:tabs>
        <w:overflowPunct w:val="0"/>
        <w:autoSpaceDE w:val="0"/>
        <w:autoSpaceDN w:val="0"/>
        <w:adjustRightInd w:val="0"/>
        <w:spacing w:line="240" w:lineRule="auto"/>
        <w:ind w:left="1260"/>
        <w:textAlignment w:val="baseline"/>
        <w:rPr>
          <w:rFonts w:eastAsiaTheme="minorEastAsia"/>
        </w:rPr>
      </w:pPr>
      <w:bookmarkStart w:id="52" w:name="_Toc87014522"/>
      <w:r>
        <w:rPr>
          <w:rFonts w:eastAsiaTheme="minorEastAsia"/>
          <w:lang w:val="en-GB" w:eastAsia="ja-JP"/>
        </w:rPr>
        <w:t xml:space="preserve">As in Rel-15/16 </w:t>
      </w:r>
      <w:r w:rsidR="008C363C">
        <w:rPr>
          <w:rFonts w:eastAsiaTheme="minorEastAsia"/>
          <w:lang w:val="en-GB" w:eastAsia="ja-JP"/>
        </w:rPr>
        <w:t>procedure</w:t>
      </w:r>
      <w:r>
        <w:rPr>
          <w:rFonts w:eastAsiaTheme="minorEastAsia"/>
          <w:lang w:val="en-GB" w:eastAsia="ja-JP"/>
        </w:rPr>
        <w:t xml:space="preserve">, </w:t>
      </w:r>
      <w:r w:rsidR="00E52973">
        <w:rPr>
          <w:rFonts w:eastAsiaTheme="minorEastAsia"/>
          <w:lang w:val="en-GB" w:eastAsia="ja-JP"/>
        </w:rPr>
        <w:t xml:space="preserve">this monitoring occasion allocation </w:t>
      </w:r>
      <w:r w:rsidR="00250B0C">
        <w:rPr>
          <w:rFonts w:eastAsiaTheme="minorEastAsia"/>
          <w:lang w:val="en-GB" w:eastAsia="ja-JP"/>
        </w:rPr>
        <w:t xml:space="preserve">for a slot group </w:t>
      </w:r>
      <w:r w:rsidR="00E52973">
        <w:rPr>
          <w:rFonts w:eastAsiaTheme="minorEastAsia"/>
          <w:lang w:val="en-GB" w:eastAsia="ja-JP"/>
        </w:rPr>
        <w:t xml:space="preserve">is to be performed </w:t>
      </w:r>
      <w:r w:rsidR="00754D2A">
        <w:rPr>
          <w:rFonts w:eastAsiaTheme="minorEastAsia"/>
          <w:lang w:val="en-GB" w:eastAsia="ja-JP"/>
        </w:rPr>
        <w:t xml:space="preserve">for </w:t>
      </w:r>
      <w:r w:rsidR="00DC10C4">
        <w:rPr>
          <w:rFonts w:eastAsiaTheme="minorEastAsia"/>
          <w:lang w:val="en-GB" w:eastAsia="ja-JP"/>
        </w:rPr>
        <w:t xml:space="preserve">each </w:t>
      </w:r>
      <w:r w:rsidR="00E52973">
        <w:rPr>
          <w:rFonts w:eastAsiaTheme="minorEastAsia"/>
          <w:lang w:val="en-GB" w:eastAsia="ja-JP"/>
        </w:rPr>
        <w:t>slot group independently</w:t>
      </w:r>
      <w:r w:rsidR="0095105D">
        <w:rPr>
          <w:rFonts w:eastAsiaTheme="minorEastAsia"/>
          <w:lang w:val="en-GB" w:eastAsia="ja-JP"/>
        </w:rPr>
        <w:t xml:space="preserve"> (of the preceding or subsequent slot group)</w:t>
      </w:r>
      <w:r w:rsidR="002C729A" w:rsidRPr="00C6562F">
        <w:rPr>
          <w:rFonts w:eastAsiaTheme="minorEastAsia"/>
          <w:lang w:val="en-GB" w:eastAsia="ja-JP"/>
        </w:rPr>
        <w:t>.</w:t>
      </w:r>
      <w:bookmarkEnd w:id="52"/>
    </w:p>
    <w:p w14:paraId="7107F005" w14:textId="77777777" w:rsidR="00E4303D" w:rsidRDefault="00E4303D" w:rsidP="003864CF">
      <w:pPr>
        <w:rPr>
          <w:lang w:val="en-GB" w:eastAsia="ja-JP"/>
        </w:rPr>
      </w:pPr>
    </w:p>
    <w:p w14:paraId="2A60939D" w14:textId="520EC56E" w:rsidR="00684BF3" w:rsidRDefault="00684BF3" w:rsidP="00684BF3">
      <w:pPr>
        <w:pStyle w:val="Heading3"/>
      </w:pPr>
      <w:bookmarkStart w:id="53" w:name="_Toc86845011"/>
      <w:r>
        <w:t>2.1.</w:t>
      </w:r>
      <w:r w:rsidR="00E4303D">
        <w:t>5</w:t>
      </w:r>
      <w:r>
        <w:tab/>
        <w:t>Group (2) search space</w:t>
      </w:r>
      <w:bookmarkEnd w:id="53"/>
      <w:r w:rsidR="007B7489">
        <w:t xml:space="preserve"> configuration and selection of Y</w:t>
      </w:r>
      <w:r w:rsidR="007B7489" w:rsidRPr="001D0F89">
        <w:rPr>
          <w:vertAlign w:val="subscript"/>
        </w:rPr>
        <w:t>group2</w:t>
      </w:r>
      <w:r w:rsidR="007B7489">
        <w:t xml:space="preserve"> value </w:t>
      </w:r>
    </w:p>
    <w:p w14:paraId="2506E39D" w14:textId="27471255" w:rsidR="0007550E" w:rsidRDefault="00D40434" w:rsidP="00684BF3">
      <w:pPr>
        <w:rPr>
          <w:lang w:eastAsia="ja-JP"/>
        </w:rPr>
      </w:pPr>
      <w:r>
        <w:rPr>
          <w:lang w:val="en-GB" w:eastAsia="ja-JP"/>
        </w:rPr>
        <w:t>According to the current NR specs, i</w:t>
      </w:r>
      <w:r w:rsidR="00684BF3" w:rsidRPr="00127DCF">
        <w:rPr>
          <w:lang w:val="en-GB" w:eastAsia="ja-JP"/>
        </w:rPr>
        <w:t xml:space="preserve">f during cell search a UE determines from </w:t>
      </w:r>
      <w:r w:rsidR="00684BF3" w:rsidRPr="00127DCF">
        <w:rPr>
          <w:i/>
          <w:lang w:val="en-GB" w:eastAsia="ja-JP"/>
        </w:rPr>
        <w:t>MIB</w:t>
      </w:r>
      <w:r w:rsidR="00684BF3" w:rsidRPr="00127DCF">
        <w:rPr>
          <w:lang w:val="en-GB" w:eastAsia="ja-JP"/>
        </w:rPr>
        <w:t xml:space="preserve"> that a CORESET for Type0-PDCCH CSS set is present,</w:t>
      </w:r>
      <w:r w:rsidR="00684BF3" w:rsidRPr="00127DCF">
        <w:rPr>
          <w:lang w:eastAsia="ja-JP"/>
        </w:rPr>
        <w:t xml:space="preserve"> the UE determines a number of consecutive resource blocks and a number of consecutive symbols for the CORESET of the Type0-PDCCH CSS set from </w:t>
      </w:r>
      <w:proofErr w:type="spellStart"/>
      <w:r w:rsidR="00684BF3" w:rsidRPr="00127DCF">
        <w:rPr>
          <w:i/>
          <w:iCs/>
          <w:lang w:val="en-GB" w:eastAsia="ja-JP"/>
        </w:rPr>
        <w:t>controlResourceSetZero</w:t>
      </w:r>
      <w:proofErr w:type="spellEnd"/>
      <w:r w:rsidR="00684BF3" w:rsidRPr="00127DCF">
        <w:rPr>
          <w:iCs/>
          <w:lang w:val="en-GB" w:eastAsia="ja-JP"/>
        </w:rPr>
        <w:t xml:space="preserve"> in</w:t>
      </w:r>
      <w:r w:rsidR="00684BF3" w:rsidRPr="00127DCF">
        <w:rPr>
          <w:lang w:eastAsia="ja-JP"/>
        </w:rPr>
        <w:t xml:space="preserve"> </w:t>
      </w:r>
      <w:r w:rsidR="00684BF3" w:rsidRPr="00127DCF">
        <w:rPr>
          <w:i/>
          <w:lang w:val="en-GB" w:eastAsia="ja-JP"/>
        </w:rPr>
        <w:t>pdcch-</w:t>
      </w:r>
      <w:proofErr w:type="gramStart"/>
      <w:r w:rsidR="00684BF3" w:rsidRPr="00127DCF">
        <w:rPr>
          <w:i/>
          <w:lang w:val="en-GB" w:eastAsia="ja-JP"/>
        </w:rPr>
        <w:t>ConfigSIB1</w:t>
      </w:r>
      <w:r w:rsidR="00684BF3" w:rsidRPr="00127DCF">
        <w:rPr>
          <w:lang w:val="en-GB" w:eastAsia="ja-JP"/>
        </w:rPr>
        <w:t>,</w:t>
      </w:r>
      <w:r w:rsidR="00684BF3">
        <w:rPr>
          <w:lang w:val="en-GB" w:eastAsia="ja-JP"/>
        </w:rPr>
        <w:t xml:space="preserve"> </w:t>
      </w:r>
      <w:r w:rsidR="00684BF3" w:rsidRPr="00127DCF">
        <w:rPr>
          <w:lang w:eastAsia="ja-JP"/>
        </w:rPr>
        <w:t>and</w:t>
      </w:r>
      <w:proofErr w:type="gramEnd"/>
      <w:r w:rsidR="00684BF3" w:rsidRPr="00127DCF">
        <w:rPr>
          <w:lang w:eastAsia="ja-JP"/>
        </w:rPr>
        <w:t xml:space="preserve"> determines PDCCH monitoring occasions from </w:t>
      </w:r>
      <w:proofErr w:type="spellStart"/>
      <w:r w:rsidR="00684BF3" w:rsidRPr="00127DCF">
        <w:rPr>
          <w:i/>
          <w:iCs/>
          <w:lang w:val="en-GB" w:eastAsia="ja-JP"/>
        </w:rPr>
        <w:t>searchSpaceZero</w:t>
      </w:r>
      <w:proofErr w:type="spellEnd"/>
      <w:r w:rsidR="00684BF3" w:rsidRPr="00127DCF">
        <w:rPr>
          <w:iCs/>
          <w:lang w:val="en-GB" w:eastAsia="ja-JP"/>
        </w:rPr>
        <w:t xml:space="preserve"> in </w:t>
      </w:r>
      <w:r w:rsidR="00684BF3" w:rsidRPr="00127DCF">
        <w:rPr>
          <w:i/>
          <w:lang w:val="en-GB" w:eastAsia="ja-JP"/>
        </w:rPr>
        <w:t>pdcch-ConfigSIB1</w:t>
      </w:r>
      <w:r w:rsidR="00684BF3" w:rsidRPr="00127DCF">
        <w:rPr>
          <w:lang w:eastAsia="ja-JP"/>
        </w:rPr>
        <w:t xml:space="preserve">, </w:t>
      </w:r>
      <w:r w:rsidR="00684BF3" w:rsidRPr="00127DCF">
        <w:rPr>
          <w:lang w:val="en-GB" w:eastAsia="ja-JP"/>
        </w:rPr>
        <w:t xml:space="preserve">included in </w:t>
      </w:r>
      <w:r w:rsidR="00684BF3" w:rsidRPr="00127DCF">
        <w:rPr>
          <w:i/>
          <w:lang w:val="en-GB" w:eastAsia="ja-JP"/>
        </w:rPr>
        <w:t>MIB</w:t>
      </w:r>
      <w:r w:rsidR="00684BF3" w:rsidRPr="00127DCF">
        <w:rPr>
          <w:lang w:eastAsia="ja-JP"/>
        </w:rPr>
        <w:t>.</w:t>
      </w:r>
      <w:r w:rsidR="00684BF3">
        <w:rPr>
          <w:lang w:eastAsia="ja-JP"/>
        </w:rPr>
        <w:t xml:space="preserve"> A</w:t>
      </w:r>
      <w:r w:rsidR="00684BF3" w:rsidRPr="00745B9D">
        <w:rPr>
          <w:lang w:eastAsia="ja-JP"/>
        </w:rPr>
        <w:t xml:space="preserve"> UE monitors PDCCH in the Type0-PDCCH CSS set over two consecutive slots starting from slot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0</m:t>
            </m:r>
          </m:sub>
        </m:sSub>
      </m:oMath>
      <w:r w:rsidR="00684BF3">
        <w:rPr>
          <w:lang w:eastAsia="ja-JP"/>
        </w:rPr>
        <w:t xml:space="preserve"> determined from the </w:t>
      </w:r>
      <w:r w:rsidR="00684BF3" w:rsidRPr="0063074E">
        <w:rPr>
          <w:lang w:eastAsia="ja-JP"/>
        </w:rPr>
        <w:t>SS/PBCH block index</w:t>
      </w:r>
      <w:r w:rsidR="00684BF3">
        <w:rPr>
          <w:lang w:eastAsia="ja-JP"/>
        </w:rPr>
        <w:t xml:space="preserve">. </w:t>
      </w:r>
    </w:p>
    <w:p w14:paraId="160582F8" w14:textId="77777777" w:rsidR="00684BF3" w:rsidRPr="00C76F18" w:rsidRDefault="00684BF3" w:rsidP="00684BF3">
      <w:pPr>
        <w:rPr>
          <w:lang w:val="en-GB" w:eastAsia="ja-JP"/>
        </w:rPr>
      </w:pPr>
      <w:r w:rsidRPr="00C76F18">
        <w:rPr>
          <w:lang w:val="en-GB" w:eastAsia="ja-JP"/>
        </w:rPr>
        <w:t xml:space="preserve">If a UE is provided a zero value for </w:t>
      </w:r>
      <w:proofErr w:type="spellStart"/>
      <w:r w:rsidRPr="00C76F18">
        <w:rPr>
          <w:lang w:val="en-GB" w:eastAsia="ja-JP"/>
        </w:rPr>
        <w:t>searchSpaceID</w:t>
      </w:r>
      <w:proofErr w:type="spellEnd"/>
      <w:r w:rsidRPr="00C76F18">
        <w:rPr>
          <w:lang w:val="en-GB" w:eastAsia="ja-JP"/>
        </w:rPr>
        <w:t xml:space="preserve"> in PDCCH-</w:t>
      </w:r>
      <w:proofErr w:type="spellStart"/>
      <w:r w:rsidRPr="00C76F18">
        <w:rPr>
          <w:lang w:val="en-GB" w:eastAsia="ja-JP"/>
        </w:rPr>
        <w:t>ConfigCommon</w:t>
      </w:r>
      <w:proofErr w:type="spellEnd"/>
      <w:r w:rsidRPr="00C76F18">
        <w:rPr>
          <w:lang w:val="en-GB" w:eastAsia="ja-JP"/>
        </w:rPr>
        <w:t xml:space="preserve"> for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w:t>
      </w:r>
    </w:p>
    <w:p w14:paraId="6C7E1F82" w14:textId="77777777" w:rsidR="00684BF3" w:rsidRPr="00A9596C" w:rsidRDefault="00684BF3" w:rsidP="00A702E8">
      <w:pPr>
        <w:pStyle w:val="ListParagraph"/>
        <w:numPr>
          <w:ilvl w:val="0"/>
          <w:numId w:val="26"/>
        </w:numPr>
        <w:rPr>
          <w:rFonts w:ascii="Arial" w:hAnsi="Arial" w:cs="Arial"/>
          <w:sz w:val="20"/>
          <w:szCs w:val="20"/>
          <w:lang w:val="en-GB" w:eastAsia="ja-JP"/>
        </w:rPr>
      </w:pPr>
      <w:r w:rsidRPr="00A9596C">
        <w:rPr>
          <w:rFonts w:ascii="Arial" w:hAnsi="Arial" w:cs="Arial"/>
          <w:sz w:val="20"/>
          <w:szCs w:val="20"/>
          <w:lang w:val="en-GB" w:eastAsia="ja-JP"/>
        </w:rPr>
        <w:t>a MAC CE activation command indicating a TCI state of the active BWP that includes a CORESET with index 0, as described in [6, TS 38.214], where the TCI-state includes a CSI-RS which is quasi-co-located with the SS/PBCH block, or</w:t>
      </w:r>
    </w:p>
    <w:p w14:paraId="3D8BC001" w14:textId="77777777" w:rsidR="00684BF3" w:rsidRPr="00A9596C" w:rsidRDefault="00684BF3" w:rsidP="00791E72">
      <w:pPr>
        <w:pStyle w:val="ListParagraph"/>
        <w:numPr>
          <w:ilvl w:val="0"/>
          <w:numId w:val="26"/>
        </w:numPr>
        <w:spacing w:after="120"/>
        <w:rPr>
          <w:rFonts w:ascii="Arial" w:hAnsi="Arial" w:cs="Arial"/>
          <w:sz w:val="20"/>
          <w:szCs w:val="20"/>
          <w:lang w:val="en-GB" w:eastAsia="ja-JP"/>
        </w:rPr>
      </w:pPr>
      <w:r w:rsidRPr="00A9596C">
        <w:rPr>
          <w:rFonts w:ascii="Arial" w:hAnsi="Arial" w:cs="Arial"/>
          <w:sz w:val="20"/>
          <w:szCs w:val="20"/>
          <w:lang w:val="en-GB" w:eastAsia="ja-JP"/>
        </w:rPr>
        <w:t xml:space="preserve">a </w:t>
      </w:r>
      <w:proofErr w:type="gramStart"/>
      <w:r w:rsidRPr="00A9596C">
        <w:rPr>
          <w:rFonts w:ascii="Arial" w:hAnsi="Arial" w:cs="Arial"/>
          <w:sz w:val="20"/>
          <w:szCs w:val="20"/>
          <w:lang w:val="en-GB" w:eastAsia="ja-JP"/>
        </w:rPr>
        <w:t>random access</w:t>
      </w:r>
      <w:proofErr w:type="gramEnd"/>
      <w:r w:rsidRPr="00A9596C">
        <w:rPr>
          <w:rFonts w:ascii="Arial" w:hAnsi="Arial" w:cs="Arial"/>
          <w:sz w:val="20"/>
          <w:szCs w:val="20"/>
          <w:lang w:val="en-GB" w:eastAsia="ja-JP"/>
        </w:rPr>
        <w:t xml:space="preserve"> procedure that is not initiated by a PDCCH order that triggers a contention-free random access procedure</w:t>
      </w:r>
    </w:p>
    <w:p w14:paraId="0B5AF099" w14:textId="453CBD74" w:rsidR="001347F2" w:rsidRDefault="001478C9" w:rsidP="00684BF3">
      <w:pPr>
        <w:rPr>
          <w:lang w:val="en-GB" w:eastAsia="ja-JP"/>
        </w:rPr>
      </w:pPr>
      <w:r>
        <w:rPr>
          <w:lang w:val="en-GB" w:eastAsia="ja-JP"/>
        </w:rPr>
        <w:t xml:space="preserve">Two issues have been discussed in RAN1 </w:t>
      </w:r>
    </w:p>
    <w:p w14:paraId="463CD911" w14:textId="0DDDCEA8" w:rsidR="00804D1E" w:rsidRDefault="00804D1E" w:rsidP="00804D1E">
      <w:pPr>
        <w:pStyle w:val="ListParagraph"/>
        <w:numPr>
          <w:ilvl w:val="0"/>
          <w:numId w:val="26"/>
        </w:numPr>
        <w:rPr>
          <w:rFonts w:ascii="Arial" w:hAnsi="Arial" w:cs="Arial"/>
          <w:sz w:val="20"/>
          <w:szCs w:val="20"/>
          <w:lang w:val="en-GB" w:eastAsia="ja-JP"/>
        </w:rPr>
      </w:pPr>
      <w:r w:rsidRPr="00804D1E">
        <w:rPr>
          <w:rFonts w:ascii="Arial" w:hAnsi="Arial" w:cs="Arial"/>
          <w:sz w:val="20"/>
          <w:szCs w:val="20"/>
          <w:lang w:val="en-GB" w:eastAsia="ja-JP"/>
        </w:rPr>
        <w:t xml:space="preserve">Alignment of </w:t>
      </w:r>
      <w:r w:rsidR="004F28A5">
        <w:rPr>
          <w:rFonts w:ascii="Arial" w:hAnsi="Arial" w:cs="Arial"/>
          <w:sz w:val="20"/>
          <w:szCs w:val="20"/>
          <w:lang w:val="en-GB" w:eastAsia="ja-JP"/>
        </w:rPr>
        <w:t xml:space="preserve">monitoring slots </w:t>
      </w:r>
      <w:r w:rsidR="00270223">
        <w:rPr>
          <w:rFonts w:ascii="Arial" w:hAnsi="Arial" w:cs="Arial"/>
          <w:sz w:val="20"/>
          <w:szCs w:val="20"/>
          <w:lang w:val="en-GB" w:eastAsia="ja-JP"/>
        </w:rPr>
        <w:t>between Group (1) and Group (2) search spaces</w:t>
      </w:r>
      <w:r w:rsidR="00CB733E">
        <w:rPr>
          <w:rFonts w:ascii="Arial" w:hAnsi="Arial" w:cs="Arial"/>
          <w:sz w:val="20"/>
          <w:szCs w:val="20"/>
          <w:lang w:val="en-GB" w:eastAsia="ja-JP"/>
        </w:rPr>
        <w:t xml:space="preserve"> to avoid back-to-back PDCCH processing overloading.</w:t>
      </w:r>
    </w:p>
    <w:p w14:paraId="560430DB" w14:textId="1252F0D7" w:rsidR="00270223" w:rsidRPr="00804D1E" w:rsidRDefault="00270223" w:rsidP="00997ED0">
      <w:pPr>
        <w:pStyle w:val="ListParagraph"/>
        <w:numPr>
          <w:ilvl w:val="0"/>
          <w:numId w:val="26"/>
        </w:numPr>
        <w:spacing w:after="120"/>
        <w:jc w:val="left"/>
        <w:rPr>
          <w:rFonts w:ascii="Arial" w:hAnsi="Arial" w:cs="Arial"/>
          <w:sz w:val="20"/>
          <w:szCs w:val="20"/>
          <w:lang w:val="en-GB" w:eastAsia="ja-JP"/>
        </w:rPr>
      </w:pPr>
      <w:r>
        <w:rPr>
          <w:rFonts w:ascii="Arial" w:hAnsi="Arial" w:cs="Arial"/>
          <w:sz w:val="20"/>
          <w:szCs w:val="20"/>
          <w:lang w:val="en-GB" w:eastAsia="ja-JP"/>
        </w:rPr>
        <w:t xml:space="preserve">The number of monitoring </w:t>
      </w:r>
      <w:r w:rsidR="00997ED0">
        <w:rPr>
          <w:rFonts w:ascii="Arial" w:hAnsi="Arial" w:cs="Arial"/>
          <w:sz w:val="20"/>
          <w:szCs w:val="20"/>
          <w:lang w:val="en-GB" w:eastAsia="ja-JP"/>
        </w:rPr>
        <w:t>slots for Group (2) search spaces.</w:t>
      </w:r>
    </w:p>
    <w:p w14:paraId="528CF50C" w14:textId="77777777" w:rsidR="008F7AAC" w:rsidRDefault="00AD5900" w:rsidP="00684BF3">
      <w:pPr>
        <w:rPr>
          <w:rFonts w:cs="Arial"/>
          <w:szCs w:val="20"/>
          <w:lang w:val="en-GB" w:eastAsia="ja-JP"/>
        </w:rPr>
      </w:pPr>
      <w:r>
        <w:rPr>
          <w:lang w:val="en-GB" w:eastAsia="ja-JP"/>
        </w:rPr>
        <w:t xml:space="preserve">For the alignment issue, the </w:t>
      </w:r>
      <w:r>
        <w:rPr>
          <w:rFonts w:cs="Arial"/>
          <w:szCs w:val="20"/>
          <w:lang w:val="en-GB" w:eastAsia="ja-JP"/>
        </w:rPr>
        <w:t xml:space="preserve">back-to-back PDCCH processing overloading issue can be avoided using the </w:t>
      </w:r>
      <w:r w:rsidR="00CC56DB">
        <w:rPr>
          <w:rFonts w:cs="Arial"/>
          <w:szCs w:val="20"/>
          <w:lang w:val="en-GB" w:eastAsia="ja-JP"/>
        </w:rPr>
        <w:t xml:space="preserve">monitoring occasion determination procedure </w:t>
      </w:r>
      <w:r w:rsidR="008D44C0">
        <w:rPr>
          <w:rFonts w:cs="Arial"/>
          <w:szCs w:val="20"/>
          <w:lang w:val="en-GB" w:eastAsia="ja-JP"/>
        </w:rPr>
        <w:t xml:space="preserve">for Group (1) search spaces </w:t>
      </w:r>
      <w:r w:rsidR="00CC56DB">
        <w:rPr>
          <w:rFonts w:cs="Arial"/>
          <w:szCs w:val="20"/>
          <w:lang w:val="en-GB" w:eastAsia="ja-JP"/>
        </w:rPr>
        <w:t xml:space="preserve">described </w:t>
      </w:r>
      <w:r w:rsidR="008D44C0">
        <w:rPr>
          <w:rFonts w:cs="Arial"/>
          <w:szCs w:val="20"/>
          <w:lang w:val="en-GB" w:eastAsia="ja-JP"/>
        </w:rPr>
        <w:t xml:space="preserve">in the preceding sections. </w:t>
      </w:r>
      <w:r w:rsidR="008D44C0">
        <w:rPr>
          <w:rFonts w:cs="Arial"/>
          <w:szCs w:val="20"/>
          <w:lang w:val="en-GB" w:eastAsia="ja-JP"/>
        </w:rPr>
        <w:lastRenderedPageBreak/>
        <w:t xml:space="preserve">There is no need to </w:t>
      </w:r>
      <w:r w:rsidR="00462E62">
        <w:rPr>
          <w:rFonts w:cs="Arial"/>
          <w:szCs w:val="20"/>
          <w:lang w:val="en-GB" w:eastAsia="ja-JP"/>
        </w:rPr>
        <w:t xml:space="preserve">resort to an alternative </w:t>
      </w:r>
      <w:r w:rsidR="007F44B2">
        <w:rPr>
          <w:rFonts w:cs="Arial"/>
          <w:szCs w:val="20"/>
          <w:lang w:val="en-GB" w:eastAsia="ja-JP"/>
        </w:rPr>
        <w:t xml:space="preserve">solution based on CSS zone, in which </w:t>
      </w:r>
      <w:r w:rsidR="00761B36">
        <w:rPr>
          <w:rFonts w:cs="Arial"/>
          <w:szCs w:val="20"/>
          <w:lang w:val="en-GB" w:eastAsia="ja-JP"/>
        </w:rPr>
        <w:t xml:space="preserve">substantial changes </w:t>
      </w:r>
      <w:r w:rsidR="00EB6863">
        <w:rPr>
          <w:rFonts w:cs="Arial"/>
          <w:szCs w:val="20"/>
          <w:lang w:val="en-GB" w:eastAsia="ja-JP"/>
        </w:rPr>
        <w:t xml:space="preserve">to Group (2) search spaces </w:t>
      </w:r>
      <w:r w:rsidR="00761B36">
        <w:rPr>
          <w:rFonts w:cs="Arial"/>
          <w:szCs w:val="20"/>
          <w:lang w:val="en-GB" w:eastAsia="ja-JP"/>
        </w:rPr>
        <w:t>are needed</w:t>
      </w:r>
      <w:r w:rsidR="00EB6863">
        <w:rPr>
          <w:rFonts w:cs="Arial"/>
          <w:szCs w:val="20"/>
          <w:lang w:val="en-GB" w:eastAsia="ja-JP"/>
        </w:rPr>
        <w:t>.</w:t>
      </w:r>
    </w:p>
    <w:p w14:paraId="630E9B8B" w14:textId="6CA8AB3C" w:rsidR="00BF042D" w:rsidRDefault="00257F46" w:rsidP="00684BF3">
      <w:pPr>
        <w:rPr>
          <w:rFonts w:eastAsiaTheme="minorEastAsia"/>
          <w:lang w:eastAsia="ja-JP"/>
        </w:rPr>
      </w:pPr>
      <w:r>
        <w:rPr>
          <w:rFonts w:cs="Arial"/>
          <w:szCs w:val="20"/>
          <w:lang w:val="en-GB" w:eastAsia="ja-JP"/>
        </w:rPr>
        <w:t xml:space="preserve">For the second issue, </w:t>
      </w:r>
      <w:r w:rsidR="00AB5C23">
        <w:rPr>
          <w:rFonts w:cs="Arial"/>
          <w:szCs w:val="20"/>
          <w:lang w:val="en-GB" w:eastAsia="ja-JP"/>
        </w:rPr>
        <w:t xml:space="preserve">several changes to the existing Group (2) search space </w:t>
      </w:r>
      <w:r w:rsidR="007225C4">
        <w:rPr>
          <w:rFonts w:cs="Arial"/>
          <w:szCs w:val="20"/>
          <w:lang w:val="en-GB" w:eastAsia="ja-JP"/>
        </w:rPr>
        <w:t xml:space="preserve">and initial access protocols and procedures had been proposed by some sources. </w:t>
      </w:r>
      <w:r w:rsidR="00772473">
        <w:rPr>
          <w:rFonts w:cs="Arial"/>
          <w:szCs w:val="20"/>
          <w:lang w:val="en-GB" w:eastAsia="ja-JP"/>
        </w:rPr>
        <w:t xml:space="preserve">For instance, it has been proposed that </w:t>
      </w:r>
      <w:r w:rsidR="00772473" w:rsidRPr="004E4CEA">
        <w:rPr>
          <w:lang w:eastAsia="ja-JP"/>
        </w:rPr>
        <w:t xml:space="preserve">Type0-PDCCH should be monitored in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oMath>
      <w:r w:rsidR="00772473" w:rsidRPr="004E4CEA">
        <w:rPr>
          <w:lang w:eastAsia="ja-JP"/>
        </w:rPr>
        <w:t xml:space="preserve"> and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r>
          <w:rPr>
            <w:rFonts w:ascii="Cambria Math" w:hAnsi="Cambria Math"/>
            <w:lang w:eastAsia="ja-JP"/>
          </w:rPr>
          <m:t>X</m:t>
        </m:r>
      </m:oMath>
      <w:r w:rsidR="00772473">
        <w:rPr>
          <w:rFonts w:eastAsiaTheme="minorEastAsia"/>
          <w:lang w:eastAsia="ja-JP"/>
        </w:rPr>
        <w:t xml:space="preserve">. </w:t>
      </w:r>
      <w:r w:rsidR="007F0893">
        <w:rPr>
          <w:rFonts w:eastAsiaTheme="minorEastAsia"/>
          <w:lang w:eastAsia="ja-JP"/>
        </w:rPr>
        <w:t xml:space="preserve">But the system </w:t>
      </w:r>
      <w:proofErr w:type="gramStart"/>
      <w:r w:rsidR="007F0893">
        <w:rPr>
          <w:rFonts w:eastAsiaTheme="minorEastAsia"/>
          <w:lang w:eastAsia="ja-JP"/>
        </w:rPr>
        <w:t>has to</w:t>
      </w:r>
      <w:proofErr w:type="gramEnd"/>
      <w:r w:rsidR="007F0893">
        <w:rPr>
          <w:rFonts w:eastAsiaTheme="minorEastAsia"/>
          <w:lang w:eastAsia="ja-JP"/>
        </w:rPr>
        <w:t xml:space="preserve"> </w:t>
      </w:r>
      <w:r w:rsidR="002321A2">
        <w:rPr>
          <w:rFonts w:eastAsiaTheme="minorEastAsia"/>
          <w:lang w:eastAsia="ja-JP"/>
        </w:rPr>
        <w:t xml:space="preserve">repeat </w:t>
      </w:r>
      <w:r w:rsidR="002321A2" w:rsidRPr="004E4CEA">
        <w:rPr>
          <w:lang w:eastAsia="ja-JP"/>
        </w:rPr>
        <w:t xml:space="preserve">the Type0-PDCCH </w:t>
      </w:r>
      <w:r w:rsidR="002321A2">
        <w:rPr>
          <w:lang w:eastAsia="ja-JP"/>
        </w:rPr>
        <w:t xml:space="preserve">and associated PDSCH carrying SIB1 </w:t>
      </w:r>
      <w:r w:rsidR="002321A2" w:rsidRPr="004E4CEA">
        <w:rPr>
          <w:lang w:eastAsia="ja-JP"/>
        </w:rPr>
        <w:t xml:space="preserve">in all slots between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oMath>
      <w:r w:rsidR="002321A2" w:rsidRPr="004E4CEA">
        <w:rPr>
          <w:lang w:eastAsia="ja-JP"/>
        </w:rPr>
        <w:t xml:space="preserve"> and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r>
          <w:rPr>
            <w:rFonts w:ascii="Cambria Math" w:hAnsi="Cambria Math"/>
            <w:lang w:eastAsia="ja-JP"/>
          </w:rPr>
          <m:t>X</m:t>
        </m:r>
      </m:oMath>
      <w:r w:rsidR="00E80A5F">
        <w:rPr>
          <w:rFonts w:eastAsiaTheme="minorEastAsia"/>
          <w:lang w:eastAsia="ja-JP"/>
        </w:rPr>
        <w:t xml:space="preserve"> or in all slots between </w:t>
      </w:r>
      <w:r w:rsidR="00E80A5F" w:rsidRPr="004E4CEA">
        <w:rPr>
          <w:lang w:eastAsia="ja-JP"/>
        </w:rPr>
        <w:t xml:space="preserve">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+X</m:t>
        </m:r>
      </m:oMath>
      <w:r w:rsidR="00E80A5F" w:rsidRPr="004E4CEA">
        <w:rPr>
          <w:lang w:eastAsia="ja-JP"/>
        </w:rPr>
        <w:t xml:space="preserve"> and slot </w:t>
      </w:r>
      <m:oMath>
        <m:sSub>
          <m:sSubPr>
            <m:ctrlPr>
              <w:rPr>
                <w:rFonts w:ascii="Cambria Math" w:hAnsi="Cambria Math"/>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+2</m:t>
        </m:r>
        <m:r>
          <w:rPr>
            <w:rFonts w:ascii="Cambria Math" w:hAnsi="Cambria Math"/>
            <w:lang w:eastAsia="ja-JP"/>
          </w:rPr>
          <m:t>X-1</m:t>
        </m:r>
      </m:oMath>
      <w:r w:rsidR="00625757">
        <w:rPr>
          <w:lang w:eastAsia="ja-JP"/>
        </w:rPr>
        <w:t xml:space="preserve"> such the UE can choose one of them to process if </w:t>
      </w:r>
      <w:r w:rsidR="00F70CDB">
        <w:rPr>
          <w:lang w:eastAsia="ja-JP"/>
        </w:rPr>
        <w:t>it coincides with the UE’s USS monitoring occasion.</w:t>
      </w:r>
      <w:r w:rsidR="002321A2">
        <w:rPr>
          <w:lang w:eastAsia="ja-JP"/>
        </w:rPr>
        <w:t xml:space="preserve"> That is, to support 64 SSB beams, it becomes necessary for the gNB to transmit the Type0-PDCCH and PDSCH carrying SIB1 64x4=256 times for the 480 kHz SCS instead of 64 times for the 120 kHz SCS.</w:t>
      </w:r>
      <w:r w:rsidR="00895C06">
        <w:rPr>
          <w:lang w:eastAsia="ja-JP"/>
        </w:rPr>
        <w:t xml:space="preserve"> </w:t>
      </w:r>
      <w:r w:rsidR="00895C06" w:rsidRPr="002375E3">
        <w:rPr>
          <w:b/>
          <w:bCs/>
          <w:lang w:eastAsia="ja-JP"/>
        </w:rPr>
        <w:t xml:space="preserve">This </w:t>
      </w:r>
      <w:r w:rsidR="00FB29F3" w:rsidRPr="002375E3">
        <w:rPr>
          <w:b/>
          <w:bCs/>
          <w:lang w:eastAsia="ja-JP"/>
        </w:rPr>
        <w:t xml:space="preserve">introduces large waste to the system capacity and network energy efficiency </w:t>
      </w:r>
      <w:r w:rsidR="002966B0" w:rsidRPr="002375E3">
        <w:rPr>
          <w:b/>
          <w:bCs/>
          <w:lang w:eastAsia="ja-JP"/>
        </w:rPr>
        <w:t xml:space="preserve">just so the UE can avoid processing </w:t>
      </w:r>
      <w:r w:rsidR="009C64EA">
        <w:rPr>
          <w:b/>
          <w:bCs/>
          <w:lang w:eastAsia="ja-JP"/>
        </w:rPr>
        <w:t xml:space="preserve">PDCCH in </w:t>
      </w:r>
      <w:r w:rsidR="00BA6442" w:rsidRPr="002375E3">
        <w:rPr>
          <w:b/>
          <w:bCs/>
          <w:lang w:eastAsia="ja-JP"/>
        </w:rPr>
        <w:t xml:space="preserve">one slot (slot </w:t>
      </w:r>
      <m:oMath>
        <m:sSub>
          <m:sSubPr>
            <m:ctrlPr>
              <w:rPr>
                <w:rFonts w:ascii="Cambria Math" w:hAnsi="Cambria Math"/>
                <w:b/>
                <w:bCs/>
                <w:i/>
                <w:lang w:eastAsia="ja-JP"/>
              </w:rPr>
            </m:ctrlPr>
          </m:sSubPr>
          <m:e>
            <m:r>
              <m:rPr>
                <m:sty m:val="bi"/>
              </m:rPr>
              <w:rPr>
                <w:rFonts w:ascii="Cambria Math" w:hAnsi="Cambria Math"/>
                <w:lang w:eastAsia="ja-JP"/>
              </w:rPr>
              <m:t>n</m:t>
            </m:r>
          </m:e>
          <m:sub>
            <m:r>
              <m:rPr>
                <m:sty m:val="bi"/>
              </m:rPr>
              <w:rPr>
                <w:rFonts w:ascii="Cambria Math" w:hAnsi="Cambria Math"/>
                <w:lang w:eastAsia="ja-JP"/>
              </w:rPr>
              <m:t>0</m:t>
            </m:r>
          </m:sub>
        </m:sSub>
        <m:r>
          <m:rPr>
            <m:sty m:val="bi"/>
          </m:rPr>
          <w:rPr>
            <w:rFonts w:ascii="Cambria Math" w:eastAsiaTheme="minorEastAsia" w:hAnsi="Cambria Math"/>
            <w:lang w:eastAsia="ja-JP"/>
          </w:rPr>
          <m:t>+1</m:t>
        </m:r>
      </m:oMath>
      <w:r w:rsidR="00BA6442" w:rsidRPr="002375E3">
        <w:rPr>
          <w:rFonts w:eastAsiaTheme="minorEastAsia"/>
          <w:b/>
          <w:bCs/>
          <w:lang w:eastAsia="ja-JP"/>
        </w:rPr>
        <w:t>) every 20 ms.</w:t>
      </w:r>
      <w:r w:rsidR="00BA6442">
        <w:rPr>
          <w:rFonts w:eastAsiaTheme="minorEastAsia"/>
          <w:lang w:eastAsia="ja-JP"/>
        </w:rPr>
        <w:t xml:space="preserve"> </w:t>
      </w:r>
      <w:r w:rsidR="00980827">
        <w:rPr>
          <w:rFonts w:eastAsiaTheme="minorEastAsia"/>
          <w:lang w:eastAsia="ja-JP"/>
        </w:rPr>
        <w:t xml:space="preserve">We don’t </w:t>
      </w:r>
      <w:r w:rsidR="00D80796">
        <w:rPr>
          <w:rFonts w:eastAsiaTheme="minorEastAsia"/>
          <w:lang w:eastAsia="ja-JP"/>
        </w:rPr>
        <w:t>agree</w:t>
      </w:r>
      <w:r w:rsidR="00980827">
        <w:rPr>
          <w:rFonts w:eastAsiaTheme="minorEastAsia"/>
          <w:lang w:eastAsia="ja-JP"/>
        </w:rPr>
        <w:t xml:space="preserve"> this is a sensible engineering practice.</w:t>
      </w:r>
    </w:p>
    <w:p w14:paraId="2D5D5A39" w14:textId="39C8B07D" w:rsidR="009A2B2B" w:rsidRDefault="009A2B2B" w:rsidP="00684BF3">
      <w:pPr>
        <w:rPr>
          <w:rFonts w:cs="Arial"/>
          <w:szCs w:val="20"/>
          <w:lang w:val="en-GB" w:eastAsia="ja-JP"/>
        </w:rPr>
      </w:pPr>
      <w:r>
        <w:rPr>
          <w:rFonts w:eastAsiaTheme="minorEastAsia"/>
          <w:lang w:eastAsia="ja-JP"/>
        </w:rPr>
        <w:t xml:space="preserve">Furthermore, </w:t>
      </w:r>
      <w:r w:rsidR="00E443FC">
        <w:rPr>
          <w:rFonts w:eastAsiaTheme="minorEastAsia"/>
          <w:lang w:eastAsia="ja-JP"/>
        </w:rPr>
        <w:t xml:space="preserve">as described in the previous section, </w:t>
      </w:r>
      <w:r w:rsidR="00962102">
        <w:rPr>
          <w:rFonts w:eastAsiaTheme="minorEastAsia"/>
          <w:lang w:eastAsia="ja-JP"/>
        </w:rPr>
        <w:t xml:space="preserve">the UE allocates monitoring occasions for the CSS sets first. Hence, the PDCCH processing loads </w:t>
      </w:r>
      <w:r w:rsidR="00DF59D3">
        <w:rPr>
          <w:rFonts w:eastAsiaTheme="minorEastAsia"/>
          <w:lang w:eastAsia="ja-JP"/>
        </w:rPr>
        <w:t xml:space="preserve">for monitoring </w:t>
      </w:r>
      <w:r w:rsidR="002F233E">
        <w:rPr>
          <w:rFonts w:eastAsiaTheme="minorEastAsia"/>
          <w:lang w:eastAsia="ja-JP"/>
        </w:rPr>
        <w:t xml:space="preserve">Group (2) search spaces in </w:t>
      </w:r>
      <w:r w:rsidR="00DF59D3">
        <w:rPr>
          <w:rFonts w:eastAsiaTheme="minorEastAsia"/>
          <w:lang w:eastAsia="ja-JP"/>
        </w:rPr>
        <w:t xml:space="preserve">the first two slots </w:t>
      </w:r>
      <w:r w:rsidR="002F233E">
        <w:rPr>
          <w:rFonts w:eastAsiaTheme="minorEastAsia"/>
          <w:lang w:eastAsia="ja-JP"/>
        </w:rPr>
        <w:t xml:space="preserve">of a slot group </w:t>
      </w:r>
      <w:r w:rsidR="00DF59D3">
        <w:rPr>
          <w:rFonts w:eastAsiaTheme="minorEastAsia"/>
          <w:lang w:eastAsia="ja-JP"/>
        </w:rPr>
        <w:t xml:space="preserve">(every 20 </w:t>
      </w:r>
      <w:proofErr w:type="spellStart"/>
      <w:r w:rsidR="00DF59D3">
        <w:rPr>
          <w:rFonts w:eastAsiaTheme="minorEastAsia"/>
          <w:lang w:eastAsia="ja-JP"/>
        </w:rPr>
        <w:t>ms</w:t>
      </w:r>
      <w:proofErr w:type="spellEnd"/>
      <w:r w:rsidR="00DF59D3">
        <w:rPr>
          <w:rFonts w:eastAsiaTheme="minorEastAsia"/>
          <w:lang w:eastAsia="ja-JP"/>
        </w:rPr>
        <w:t xml:space="preserve">) </w:t>
      </w:r>
      <w:r w:rsidR="00E965D7">
        <w:rPr>
          <w:rFonts w:eastAsiaTheme="minorEastAsia"/>
          <w:lang w:eastAsia="ja-JP"/>
        </w:rPr>
        <w:t xml:space="preserve">are already accounted </w:t>
      </w:r>
      <w:r w:rsidR="00571339">
        <w:rPr>
          <w:rFonts w:eastAsiaTheme="minorEastAsia"/>
          <w:lang w:eastAsia="ja-JP"/>
        </w:rPr>
        <w:t xml:space="preserve">for. If there is not enough BD/CCE budget left for monitoring the USS set(s) in this slot group, the UE does not need to </w:t>
      </w:r>
      <w:r w:rsidR="00E443FC">
        <w:rPr>
          <w:rFonts w:eastAsiaTheme="minorEastAsia"/>
          <w:lang w:eastAsia="ja-JP"/>
        </w:rPr>
        <w:t>monitor these USS set(s)</w:t>
      </w:r>
      <w:r w:rsidR="00582776">
        <w:rPr>
          <w:rFonts w:eastAsiaTheme="minorEastAsia"/>
          <w:lang w:eastAsia="ja-JP"/>
        </w:rPr>
        <w:t xml:space="preserve"> </w:t>
      </w:r>
      <w:r w:rsidR="00560F5C">
        <w:rPr>
          <w:rFonts w:eastAsiaTheme="minorEastAsia"/>
          <w:lang w:eastAsia="ja-JP"/>
        </w:rPr>
        <w:t xml:space="preserve">(which achieves </w:t>
      </w:r>
      <w:r w:rsidR="009F0D86">
        <w:rPr>
          <w:rFonts w:eastAsiaTheme="minorEastAsia"/>
          <w:lang w:eastAsia="ja-JP"/>
        </w:rPr>
        <w:t xml:space="preserve">the core </w:t>
      </w:r>
      <w:r w:rsidR="00560F5C">
        <w:rPr>
          <w:rFonts w:eastAsiaTheme="minorEastAsia"/>
          <w:lang w:eastAsia="ja-JP"/>
        </w:rPr>
        <w:t>objective of the CSS proposal</w:t>
      </w:r>
      <w:r w:rsidR="00AC5B7C">
        <w:rPr>
          <w:rFonts w:eastAsiaTheme="minorEastAsia"/>
          <w:lang w:eastAsia="ja-JP"/>
        </w:rPr>
        <w:t xml:space="preserve"> but based on </w:t>
      </w:r>
      <w:r w:rsidR="00055FC8">
        <w:rPr>
          <w:rFonts w:eastAsiaTheme="minorEastAsia"/>
          <w:lang w:eastAsia="ja-JP"/>
        </w:rPr>
        <w:t xml:space="preserve">the same principle </w:t>
      </w:r>
      <w:r w:rsidR="009F0D86">
        <w:rPr>
          <w:rFonts w:eastAsiaTheme="minorEastAsia"/>
          <w:lang w:eastAsia="ja-JP"/>
        </w:rPr>
        <w:t xml:space="preserve">used </w:t>
      </w:r>
      <w:r w:rsidR="00055FC8">
        <w:rPr>
          <w:rFonts w:eastAsiaTheme="minorEastAsia"/>
          <w:lang w:eastAsia="ja-JP"/>
        </w:rPr>
        <w:t xml:space="preserve">in </w:t>
      </w:r>
      <w:r w:rsidR="004A0CE1">
        <w:rPr>
          <w:rFonts w:eastAsiaTheme="minorEastAsia"/>
          <w:lang w:eastAsia="ja-JP"/>
        </w:rPr>
        <w:t>existing monitoring occasion allocation procedure)</w:t>
      </w:r>
      <w:r w:rsidR="00E443FC">
        <w:rPr>
          <w:rFonts w:eastAsiaTheme="minorEastAsia"/>
          <w:lang w:eastAsia="ja-JP"/>
        </w:rPr>
        <w:t xml:space="preserve">. </w:t>
      </w:r>
      <w:r w:rsidR="0020145C">
        <w:rPr>
          <w:rFonts w:eastAsiaTheme="minorEastAsia"/>
          <w:lang w:eastAsia="ja-JP"/>
        </w:rPr>
        <w:t xml:space="preserve">There is no back-to-back PDCCH processing overloading issue just </w:t>
      </w:r>
      <w:r w:rsidR="00B31BDE">
        <w:rPr>
          <w:rFonts w:eastAsiaTheme="minorEastAsia"/>
          <w:lang w:eastAsia="ja-JP"/>
        </w:rPr>
        <w:t xml:space="preserve">because Group (2) search spaces need to be monitored in </w:t>
      </w:r>
      <w:r w:rsidR="00E86B83">
        <w:rPr>
          <w:rFonts w:eastAsiaTheme="minorEastAsia"/>
          <w:lang w:eastAsia="ja-JP"/>
        </w:rPr>
        <w:t xml:space="preserve">the first </w:t>
      </w:r>
      <w:r w:rsidR="00B31BDE">
        <w:rPr>
          <w:rFonts w:eastAsiaTheme="minorEastAsia"/>
          <w:lang w:eastAsia="ja-JP"/>
        </w:rPr>
        <w:t xml:space="preserve">two consecutive slots </w:t>
      </w:r>
      <w:r w:rsidR="00E86B83">
        <w:rPr>
          <w:rFonts w:eastAsiaTheme="minorEastAsia"/>
          <w:lang w:eastAsia="ja-JP"/>
        </w:rPr>
        <w:t xml:space="preserve">of a slot group (every 20 </w:t>
      </w:r>
      <w:proofErr w:type="spellStart"/>
      <w:r w:rsidR="00E86B83">
        <w:rPr>
          <w:rFonts w:eastAsiaTheme="minorEastAsia"/>
          <w:lang w:eastAsia="ja-JP"/>
        </w:rPr>
        <w:t>ms</w:t>
      </w:r>
      <w:proofErr w:type="spellEnd"/>
      <w:r w:rsidR="00E86B83">
        <w:rPr>
          <w:rFonts w:eastAsiaTheme="minorEastAsia"/>
          <w:lang w:eastAsia="ja-JP"/>
        </w:rPr>
        <w:t>).</w:t>
      </w:r>
    </w:p>
    <w:p w14:paraId="04B8980B" w14:textId="26D944FD" w:rsidR="00AB0A29" w:rsidRDefault="001F2AB5" w:rsidP="001F2AB5">
      <w:pPr>
        <w:rPr>
          <w:lang w:eastAsia="ja-JP"/>
        </w:rPr>
      </w:pPr>
      <w:r>
        <w:rPr>
          <w:lang w:val="en-GB" w:eastAsia="ja-JP"/>
        </w:rPr>
        <w:t xml:space="preserve">In summary, </w:t>
      </w:r>
      <w:r w:rsidR="002A665A">
        <w:rPr>
          <w:lang w:val="en-GB" w:eastAsia="ja-JP"/>
        </w:rPr>
        <w:t xml:space="preserve">existing </w:t>
      </w:r>
      <w:r w:rsidRPr="004E4CEA">
        <w:rPr>
          <w:lang w:val="en-GB" w:eastAsia="ja-JP"/>
        </w:rPr>
        <w:t xml:space="preserve">proposed changes </w:t>
      </w:r>
      <w:r w:rsidR="002A665A">
        <w:rPr>
          <w:lang w:val="en-GB" w:eastAsia="ja-JP"/>
        </w:rPr>
        <w:t xml:space="preserve">to Group (2) </w:t>
      </w:r>
      <w:r w:rsidR="002A665A">
        <w:rPr>
          <w:rFonts w:cs="Arial"/>
          <w:szCs w:val="20"/>
          <w:lang w:val="en-GB" w:eastAsia="ja-JP"/>
        </w:rPr>
        <w:t xml:space="preserve">search space and initial access protocols and procedures </w:t>
      </w:r>
      <w:r w:rsidRPr="004E4CEA">
        <w:rPr>
          <w:lang w:val="en-GB" w:eastAsia="ja-JP"/>
        </w:rPr>
        <w:t xml:space="preserve">deviate substantially from the system design principles embodied in Rel-15 NR. In our view, such significant and wide-ranging changes to the fundamental NR design for initial access is not justified. In </w:t>
      </w:r>
      <w:r w:rsidR="00311414">
        <w:rPr>
          <w:lang w:val="en-GB" w:eastAsia="ja-JP"/>
        </w:rPr>
        <w:t>some extreme cases</w:t>
      </w:r>
      <w:r w:rsidRPr="004E4CEA">
        <w:rPr>
          <w:lang w:val="en-GB" w:eastAsia="ja-JP"/>
        </w:rPr>
        <w:t>, the change</w:t>
      </w:r>
      <w:r w:rsidR="00AB0A29">
        <w:rPr>
          <w:lang w:val="en-GB" w:eastAsia="ja-JP"/>
        </w:rPr>
        <w:t>s introduce large negative</w:t>
      </w:r>
      <w:r w:rsidRPr="004E4CEA">
        <w:rPr>
          <w:lang w:val="en-GB" w:eastAsia="ja-JP"/>
        </w:rPr>
        <w:t xml:space="preserve"> impacts to </w:t>
      </w:r>
      <w:r w:rsidR="00AB0A29" w:rsidRPr="00AB0A29">
        <w:rPr>
          <w:lang w:eastAsia="ja-JP"/>
        </w:rPr>
        <w:t>the system capacity and network energy efficiency</w:t>
      </w:r>
      <w:r w:rsidR="003B7CEE">
        <w:rPr>
          <w:lang w:eastAsia="ja-JP"/>
        </w:rPr>
        <w:t>.</w:t>
      </w:r>
      <w:r w:rsidR="00BE69C7">
        <w:rPr>
          <w:lang w:eastAsia="ja-JP"/>
        </w:rPr>
        <w:t xml:space="preserve"> </w:t>
      </w:r>
      <w:r w:rsidR="00AE7A14">
        <w:rPr>
          <w:lang w:eastAsia="ja-JP"/>
        </w:rPr>
        <w:t xml:space="preserve">In contrast, the solutions presented in the previous sections to align Group (1) search spaces with Group (2) search spaces </w:t>
      </w:r>
      <w:r w:rsidR="00A16256">
        <w:rPr>
          <w:lang w:eastAsia="ja-JP"/>
        </w:rPr>
        <w:t xml:space="preserve">prove </w:t>
      </w:r>
      <w:r w:rsidR="007E1DBF">
        <w:rPr>
          <w:lang w:eastAsia="ja-JP"/>
        </w:rPr>
        <w:t xml:space="preserve">as </w:t>
      </w:r>
      <w:r w:rsidR="00A16256">
        <w:rPr>
          <w:lang w:eastAsia="ja-JP"/>
        </w:rPr>
        <w:t xml:space="preserve">effective </w:t>
      </w:r>
      <w:r w:rsidR="006F6008">
        <w:rPr>
          <w:lang w:eastAsia="ja-JP"/>
        </w:rPr>
        <w:t xml:space="preserve">in avoiding PDCCH processing overloading and </w:t>
      </w:r>
      <w:r w:rsidR="007E1DBF">
        <w:rPr>
          <w:lang w:eastAsia="ja-JP"/>
        </w:rPr>
        <w:t xml:space="preserve">helping UE energy efficiency </w:t>
      </w:r>
      <w:r w:rsidR="00A16256">
        <w:rPr>
          <w:lang w:eastAsia="ja-JP"/>
        </w:rPr>
        <w:t xml:space="preserve">without </w:t>
      </w:r>
      <w:r w:rsidR="00E609FD">
        <w:rPr>
          <w:lang w:eastAsia="ja-JP"/>
        </w:rPr>
        <w:t>negative consequences to the network operation</w:t>
      </w:r>
      <w:r w:rsidR="00D45FB7">
        <w:rPr>
          <w:lang w:eastAsia="ja-JP"/>
        </w:rPr>
        <w:t>.</w:t>
      </w:r>
    </w:p>
    <w:p w14:paraId="2D3299D5" w14:textId="77777777" w:rsidR="00BF042D" w:rsidRDefault="00BF042D" w:rsidP="00684BF3">
      <w:pPr>
        <w:rPr>
          <w:rFonts w:cs="Arial"/>
          <w:szCs w:val="20"/>
          <w:lang w:val="en-GB" w:eastAsia="ja-JP"/>
        </w:rPr>
      </w:pPr>
    </w:p>
    <w:p w14:paraId="37E9C08C" w14:textId="77777777" w:rsidR="001B5F0B" w:rsidRPr="009B33AA" w:rsidRDefault="001B5F0B" w:rsidP="001B5F0B">
      <w:pPr>
        <w:pStyle w:val="Proposal"/>
        <w:overflowPunct w:val="0"/>
        <w:autoSpaceDE w:val="0"/>
        <w:autoSpaceDN w:val="0"/>
        <w:adjustRightInd w:val="0"/>
        <w:spacing w:line="240" w:lineRule="auto"/>
        <w:textAlignment w:val="baseline"/>
        <w:rPr>
          <w:rFonts w:eastAsiaTheme="minorEastAsia"/>
        </w:rPr>
      </w:pPr>
      <w:bookmarkStart w:id="54" w:name="_Toc87014523"/>
      <w:r>
        <w:rPr>
          <w:rFonts w:cs="Arial"/>
          <w:szCs w:val="20"/>
          <w:lang w:eastAsia="x-none"/>
        </w:rPr>
        <w:t>For multi-slot PDCCH monitoring with 480/960 kHz SCS, configuration of Group (2) search spaces follows Rel-16 specs</w:t>
      </w:r>
      <w:r>
        <w:rPr>
          <w:lang w:eastAsia="ja-JP"/>
        </w:rPr>
        <w:t>.</w:t>
      </w:r>
      <w:bookmarkEnd w:id="54"/>
    </w:p>
    <w:p w14:paraId="101610BE" w14:textId="77777777" w:rsidR="00BF042D" w:rsidRPr="009B33AA" w:rsidRDefault="00BF042D" w:rsidP="00BF042D">
      <w:pPr>
        <w:pStyle w:val="Proposal"/>
        <w:overflowPunct w:val="0"/>
        <w:autoSpaceDE w:val="0"/>
        <w:autoSpaceDN w:val="0"/>
        <w:adjustRightInd w:val="0"/>
        <w:spacing w:line="240" w:lineRule="auto"/>
        <w:textAlignment w:val="baseline"/>
        <w:rPr>
          <w:rFonts w:eastAsiaTheme="minorEastAsia"/>
        </w:rPr>
      </w:pPr>
      <w:bookmarkStart w:id="55" w:name="_Toc87014524"/>
      <w:r>
        <w:rPr>
          <w:rFonts w:cs="Arial"/>
          <w:szCs w:val="20"/>
          <w:lang w:eastAsia="x-none"/>
        </w:rPr>
        <w:t>For multi-slot PDCCH monitoring with 480/960 kHz SCS, monitoring occasions of Group (2) search spaces are within Y</w:t>
      </w:r>
      <w:r w:rsidRPr="00062169">
        <w:rPr>
          <w:rFonts w:cs="Arial"/>
          <w:szCs w:val="20"/>
          <w:vertAlign w:val="subscript"/>
          <w:lang w:eastAsia="x-none"/>
        </w:rPr>
        <w:t>group2</w:t>
      </w:r>
      <w:r>
        <w:rPr>
          <w:rFonts w:cs="Arial"/>
          <w:szCs w:val="20"/>
          <w:lang w:eastAsia="x-none"/>
        </w:rPr>
        <w:t xml:space="preserve"> = 2 consecutive slots within a slot group</w:t>
      </w:r>
      <w:r>
        <w:rPr>
          <w:lang w:eastAsia="ja-JP"/>
        </w:rPr>
        <w:t>.</w:t>
      </w:r>
      <w:bookmarkEnd w:id="55"/>
    </w:p>
    <w:p w14:paraId="2D252EA2" w14:textId="77777777" w:rsidR="007E2CDD" w:rsidRPr="003864CF" w:rsidRDefault="007E2CDD" w:rsidP="003864CF">
      <w:pPr>
        <w:rPr>
          <w:lang w:val="en-GB" w:eastAsia="ja-JP"/>
        </w:rPr>
      </w:pPr>
    </w:p>
    <w:p w14:paraId="767D7783" w14:textId="5BF4D1DB" w:rsidR="00497C7E" w:rsidRDefault="00497C7E" w:rsidP="00497C7E">
      <w:pPr>
        <w:pStyle w:val="Heading3"/>
      </w:pPr>
      <w:bookmarkStart w:id="56" w:name="_Toc86845012"/>
      <w:r>
        <w:t>2.1.</w:t>
      </w:r>
      <w:r w:rsidR="00D70747">
        <w:t>5</w:t>
      </w:r>
      <w:r w:rsidRPr="00C81EDA">
        <w:tab/>
      </w:r>
      <w:r>
        <w:t xml:space="preserve">Selection of X values for </w:t>
      </w:r>
      <w:r w:rsidRPr="00375BE6">
        <w:rPr>
          <w:rFonts w:eastAsiaTheme="minorEastAsia"/>
        </w:rPr>
        <w:t>multi-slot PDCCH monitoring</w:t>
      </w:r>
      <w:bookmarkEnd w:id="56"/>
    </w:p>
    <w:p w14:paraId="0A756061" w14:textId="77777777" w:rsidR="00B252A2" w:rsidRPr="004068C6" w:rsidRDefault="00B252A2" w:rsidP="00B252A2">
      <w:pPr>
        <w:rPr>
          <w:lang w:val="en-GB" w:eastAsia="ja-JP"/>
        </w:rPr>
      </w:pPr>
      <w:r w:rsidRPr="002331EF">
        <w:rPr>
          <w:lang w:val="en-GB" w:eastAsia="ja-JP"/>
        </w:rPr>
        <w:t xml:space="preserve">Since the beginning of the WI, progress in the multi-slot PDCCH monitoring designs has been slow. </w:t>
      </w:r>
      <w:r w:rsidRPr="004068C6">
        <w:rPr>
          <w:lang w:val="en-GB" w:eastAsia="ja-JP"/>
        </w:rPr>
        <w:t xml:space="preserve">It was </w:t>
      </w:r>
      <w:r>
        <w:rPr>
          <w:lang w:val="en-GB" w:eastAsia="ja-JP"/>
        </w:rPr>
        <w:t xml:space="preserve">only </w:t>
      </w:r>
      <w:r w:rsidRPr="004068C6">
        <w:rPr>
          <w:lang w:val="en-GB" w:eastAsia="ja-JP"/>
        </w:rPr>
        <w:t>agreed in the last RAN1 meeting that a UE supporting 480/960 SCS also supports multi-slot PDCCH monitoring</w:t>
      </w:r>
      <w:r>
        <w:rPr>
          <w:lang w:val="en-GB" w:eastAsia="ja-JP"/>
        </w:rPr>
        <w:t xml:space="preserve"> for at least</w:t>
      </w:r>
    </w:p>
    <w:p w14:paraId="53FF1EF6" w14:textId="77777777" w:rsidR="00B252A2" w:rsidRPr="00D669EF" w:rsidRDefault="00B252A2" w:rsidP="00A702E8">
      <w:pPr>
        <w:pStyle w:val="StyleListParagraph-BulletsLista11"/>
        <w:numPr>
          <w:ilvl w:val="0"/>
          <w:numId w:val="18"/>
        </w:numPr>
        <w:spacing w:after="160"/>
        <w:contextualSpacing/>
        <w:rPr>
          <w:lang w:eastAsia="ja-JP"/>
        </w:rPr>
      </w:pPr>
      <w:r w:rsidRPr="00D669EF">
        <w:rPr>
          <w:lang w:eastAsia="ja-JP"/>
        </w:rPr>
        <w:t>X=4 slots for SCS 480 kHz</w:t>
      </w:r>
    </w:p>
    <w:p w14:paraId="7D53A645" w14:textId="77777777" w:rsidR="00B252A2" w:rsidRPr="00D669EF" w:rsidRDefault="00B252A2" w:rsidP="00A702E8">
      <w:pPr>
        <w:pStyle w:val="StyleListParagraph-BulletsLista11"/>
        <w:numPr>
          <w:ilvl w:val="0"/>
          <w:numId w:val="18"/>
        </w:numPr>
        <w:spacing w:after="160"/>
        <w:contextualSpacing/>
        <w:rPr>
          <w:lang w:eastAsia="ja-JP"/>
        </w:rPr>
      </w:pPr>
      <w:r w:rsidRPr="00D669EF">
        <w:rPr>
          <w:lang w:eastAsia="ja-JP"/>
        </w:rPr>
        <w:t>X=8 slots for SCS 960 kHz</w:t>
      </w:r>
    </w:p>
    <w:p w14:paraId="0D1E9C48" w14:textId="74D3DEC8" w:rsidR="00B252A2" w:rsidRDefault="00B252A2" w:rsidP="00B252A2">
      <w:pPr>
        <w:rPr>
          <w:lang w:val="en-GB" w:eastAsia="ja-JP"/>
        </w:rPr>
      </w:pPr>
      <w:r>
        <w:rPr>
          <w:lang w:val="en-GB" w:eastAsia="ja-JP"/>
        </w:rPr>
        <w:t>However, further details of operating these two cases are still</w:t>
      </w:r>
      <w:r w:rsidR="005A4E13">
        <w:rPr>
          <w:lang w:val="en-GB" w:eastAsia="ja-JP"/>
        </w:rPr>
        <w:t xml:space="preserve"> in progress</w:t>
      </w:r>
      <w:r>
        <w:rPr>
          <w:lang w:val="en-GB" w:eastAsia="ja-JP"/>
        </w:rPr>
        <w:t>.</w:t>
      </w:r>
    </w:p>
    <w:p w14:paraId="098A9963" w14:textId="540A6598" w:rsidR="0073327F" w:rsidRDefault="0073327F" w:rsidP="00A702E8">
      <w:pPr>
        <w:pStyle w:val="StyleListParagraph-BulletsLista11"/>
        <w:numPr>
          <w:ilvl w:val="0"/>
          <w:numId w:val="18"/>
        </w:numPr>
        <w:spacing w:after="160"/>
        <w:contextualSpacing/>
        <w:rPr>
          <w:lang w:eastAsia="ja-JP"/>
        </w:rPr>
      </w:pPr>
      <w:r>
        <w:rPr>
          <w:lang w:val="en-US" w:eastAsia="ja-JP"/>
        </w:rPr>
        <w:t>Details of multi-slot PDCCH monitoring are still not finalized.</w:t>
      </w:r>
    </w:p>
    <w:p w14:paraId="39647E0B" w14:textId="6AA9A778" w:rsidR="00B252A2" w:rsidRPr="003E4391" w:rsidRDefault="00B252A2" w:rsidP="00A702E8">
      <w:pPr>
        <w:pStyle w:val="StyleListParagraph-BulletsLista11"/>
        <w:numPr>
          <w:ilvl w:val="0"/>
          <w:numId w:val="18"/>
        </w:numPr>
        <w:spacing w:after="160"/>
        <w:contextualSpacing/>
        <w:rPr>
          <w:lang w:eastAsia="ja-JP"/>
        </w:rPr>
      </w:pPr>
      <w:r>
        <w:t xml:space="preserve">In designing the Rel-17 multi-slot PDCCH monitoring solutions, </w:t>
      </w:r>
      <w:r w:rsidRPr="008C5B15">
        <w:t>both aspects</w:t>
      </w:r>
      <w:r>
        <w:rPr>
          <w:lang w:val="en-US"/>
        </w:rPr>
        <w:t xml:space="preserve"> of</w:t>
      </w:r>
    </w:p>
    <w:p w14:paraId="5F442F81" w14:textId="77777777" w:rsidR="00B252A2" w:rsidRDefault="00B252A2" w:rsidP="00A702E8">
      <w:pPr>
        <w:pStyle w:val="StyleListParagraph-BulletsLista11"/>
        <w:numPr>
          <w:ilvl w:val="1"/>
          <w:numId w:val="18"/>
        </w:numPr>
        <w:spacing w:after="160"/>
        <w:contextualSpacing/>
        <w:rPr>
          <w:lang w:eastAsia="ja-JP"/>
        </w:rPr>
      </w:pPr>
      <w:r>
        <w:rPr>
          <w:lang w:eastAsia="ja-JP"/>
        </w:rPr>
        <w:t>In which slot(s) of a multi-slot span shall PDCCH be monitored?</w:t>
      </w:r>
    </w:p>
    <w:p w14:paraId="55DF5AF4" w14:textId="77777777" w:rsidR="00B252A2" w:rsidRDefault="00B252A2" w:rsidP="00A702E8">
      <w:pPr>
        <w:pStyle w:val="StyleListParagraph-BulletsLista11"/>
        <w:numPr>
          <w:ilvl w:val="1"/>
          <w:numId w:val="18"/>
        </w:numPr>
        <w:spacing w:after="160"/>
        <w:contextualSpacing/>
        <w:rPr>
          <w:lang w:eastAsia="ja-JP"/>
        </w:rPr>
      </w:pPr>
      <w:r>
        <w:rPr>
          <w:lang w:eastAsia="ja-JP"/>
        </w:rPr>
        <w:t>In which OFDM symbols of a monitored slot shall PDCCH be monitored?</w:t>
      </w:r>
    </w:p>
    <w:p w14:paraId="74B11C7A" w14:textId="77777777" w:rsidR="00B252A2" w:rsidRDefault="00B252A2" w:rsidP="00B252A2">
      <w:pPr>
        <w:pStyle w:val="StyleListParagraph-BulletsLista11"/>
        <w:spacing w:after="160"/>
        <w:contextualSpacing/>
        <w:rPr>
          <w:lang w:val="en-US"/>
        </w:rPr>
      </w:pPr>
      <w:r>
        <w:rPr>
          <w:lang w:val="en-US" w:eastAsia="ja-JP"/>
        </w:rPr>
        <w:t xml:space="preserve">need to be </w:t>
      </w:r>
      <w:r w:rsidRPr="008C5B15">
        <w:t>addressed jointly</w:t>
      </w:r>
      <w:r>
        <w:rPr>
          <w:lang w:val="en-US"/>
        </w:rPr>
        <w:t xml:space="preserve">. </w:t>
      </w:r>
    </w:p>
    <w:p w14:paraId="499E6C5B" w14:textId="6ADDB2AC" w:rsidR="00B252A2" w:rsidRDefault="00B252A2" w:rsidP="00B252A2">
      <w:pPr>
        <w:pStyle w:val="StyleListParagraph-BulletsLista11"/>
        <w:spacing w:after="160"/>
        <w:contextualSpacing/>
        <w:rPr>
          <w:lang w:val="en-US"/>
        </w:rPr>
      </w:pPr>
      <w:r w:rsidRPr="00EC515B">
        <w:t>For example</w:t>
      </w:r>
      <w:r>
        <w:t>,</w:t>
      </w:r>
      <w:r w:rsidRPr="00EC515B">
        <w:t xml:space="preserve"> if a solution is adopted whereby all monitoring is concentrated within a single slot of an </w:t>
      </w:r>
      <w:r>
        <w:rPr>
          <w:lang w:val="en-US"/>
        </w:rPr>
        <w:t>X</w:t>
      </w:r>
      <w:r w:rsidRPr="00EC515B">
        <w:t xml:space="preserve">-slot </w:t>
      </w:r>
      <w:r>
        <w:rPr>
          <w:lang w:val="en-US"/>
        </w:rPr>
        <w:t xml:space="preserve">window </w:t>
      </w:r>
      <w:r w:rsidRPr="00EC515B">
        <w:t xml:space="preserve">(not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xml:space="preserve">. For such a solution PDCCH monitoring </w:t>
      </w:r>
      <w:r w:rsidR="000346A1">
        <w:rPr>
          <w:lang w:val="en-US"/>
        </w:rPr>
        <w:t>according to Rel-15 FG 3-1</w:t>
      </w:r>
      <w:r w:rsidRPr="00EC515B">
        <w:t xml:space="preserve"> would be far too restrictive</w:t>
      </w:r>
      <w:r>
        <w:rPr>
          <w:lang w:val="en-US"/>
        </w:rPr>
        <w:t xml:space="preserve"> and </w:t>
      </w:r>
      <w:r w:rsidR="000346A1">
        <w:rPr>
          <w:lang w:val="en-US"/>
        </w:rPr>
        <w:t xml:space="preserve">Case 2 monitoring (Rel-15 FG 3-5) </w:t>
      </w:r>
      <w:r>
        <w:rPr>
          <w:lang w:val="en-US"/>
        </w:rPr>
        <w:t>would be necessary</w:t>
      </w:r>
      <w:r w:rsidRPr="00EC515B">
        <w:t xml:space="preserve">. </w:t>
      </w:r>
      <w:r>
        <w:t xml:space="preserve">On the other hand, if </w:t>
      </w:r>
      <w:r w:rsidRPr="00EC515B">
        <w:t xml:space="preserve">there is network flexibility to configure a UE to monitor in different slots of an </w:t>
      </w:r>
      <w:r>
        <w:rPr>
          <w:lang w:val="en-US"/>
        </w:rPr>
        <w:t>X</w:t>
      </w:r>
      <w:r w:rsidRPr="00EC515B">
        <w:t xml:space="preserve">-slot </w:t>
      </w:r>
      <w:r>
        <w:rPr>
          <w:lang w:val="en-US"/>
        </w:rPr>
        <w:t>window</w:t>
      </w:r>
      <w:r w:rsidRPr="00EC515B">
        <w:t xml:space="preserve"> </w:t>
      </w:r>
      <w:r w:rsidRPr="00EC515B">
        <w:lastRenderedPageBreak/>
        <w:t xml:space="preserve">(e.g., CSS and USS in different slots), then </w:t>
      </w:r>
      <w:r>
        <w:t xml:space="preserve">PDCCH monitoring </w:t>
      </w:r>
      <w:r w:rsidR="000346A1">
        <w:rPr>
          <w:lang w:val="en-US"/>
        </w:rPr>
        <w:t>according to Rel-15 FG 3-1</w:t>
      </w:r>
      <w:r>
        <w:t xml:space="preserve"> </w:t>
      </w:r>
      <w:r w:rsidRPr="00EC515B">
        <w:t>would be sufficient</w:t>
      </w:r>
      <w:r>
        <w:rPr>
          <w:lang w:val="en-US"/>
        </w:rPr>
        <w:t>.</w:t>
      </w:r>
    </w:p>
    <w:p w14:paraId="5DAFB899" w14:textId="77777777" w:rsidR="00B252A2" w:rsidRDefault="00B252A2" w:rsidP="00B252A2">
      <w:pPr>
        <w:pStyle w:val="StyleListParagraph-BulletsLista11"/>
        <w:spacing w:after="160"/>
        <w:contextualSpacing/>
        <w:rPr>
          <w:lang w:val="en-US" w:eastAsia="ja-JP"/>
        </w:rPr>
      </w:pPr>
      <w:r>
        <w:rPr>
          <w:lang w:val="en-US" w:eastAsia="ja-JP"/>
        </w:rPr>
        <w:t>Therefore, we believe it is important for RAN1 to prioritize finalizing these design details:</w:t>
      </w:r>
    </w:p>
    <w:p w14:paraId="3949A1BF" w14:textId="77777777" w:rsidR="00B252A2" w:rsidRPr="000A3E38" w:rsidRDefault="00B252A2" w:rsidP="00A702E8">
      <w:pPr>
        <w:pStyle w:val="StyleListParagraph-BulletsLista11"/>
        <w:numPr>
          <w:ilvl w:val="1"/>
          <w:numId w:val="18"/>
        </w:numPr>
        <w:spacing w:after="160"/>
        <w:contextualSpacing/>
        <w:rPr>
          <w:lang w:eastAsia="ja-JP"/>
        </w:rPr>
      </w:pPr>
      <w:r>
        <w:rPr>
          <w:lang w:val="en-US" w:eastAsia="ja-JP"/>
        </w:rPr>
        <w:t xml:space="preserve">Minimum </w:t>
      </w:r>
      <w:r w:rsidRPr="000A3E38">
        <w:rPr>
          <w:lang w:eastAsia="ja-JP"/>
        </w:rPr>
        <w:t>supported values of Y</w:t>
      </w:r>
      <w:r>
        <w:rPr>
          <w:lang w:val="en-US" w:eastAsia="ja-JP"/>
        </w:rPr>
        <w:t xml:space="preserve"> for the respective X?</w:t>
      </w:r>
    </w:p>
    <w:p w14:paraId="58CEDFE5" w14:textId="77777777" w:rsidR="00B252A2" w:rsidRPr="000A3E38" w:rsidRDefault="00B252A2" w:rsidP="00C042EF">
      <w:pPr>
        <w:pStyle w:val="StyleListParagraph-BulletsLista11"/>
        <w:numPr>
          <w:ilvl w:val="1"/>
          <w:numId w:val="18"/>
        </w:numPr>
        <w:spacing w:after="160"/>
        <w:contextualSpacing/>
        <w:rPr>
          <w:lang w:eastAsia="ja-JP"/>
        </w:rPr>
      </w:pPr>
      <w:r>
        <w:rPr>
          <w:lang w:val="en-US" w:eastAsia="ja-JP"/>
        </w:rPr>
        <w:t xml:space="preserve">What </w:t>
      </w:r>
      <w:r w:rsidRPr="000A3E38">
        <w:rPr>
          <w:lang w:eastAsia="ja-JP"/>
        </w:rPr>
        <w:t>symbols within the Y slots for PDCCH monitoring</w:t>
      </w:r>
      <w:r>
        <w:rPr>
          <w:lang w:val="en-US" w:eastAsia="ja-JP"/>
        </w:rPr>
        <w:t>?</w:t>
      </w:r>
    </w:p>
    <w:p w14:paraId="13704749" w14:textId="1D52478E" w:rsidR="00B252A2" w:rsidRPr="00E420FB" w:rsidRDefault="00B252A2" w:rsidP="00A702E8">
      <w:pPr>
        <w:pStyle w:val="StyleListParagraph-BulletsLista11"/>
        <w:numPr>
          <w:ilvl w:val="0"/>
          <w:numId w:val="18"/>
        </w:numPr>
        <w:spacing w:after="160"/>
        <w:contextualSpacing/>
      </w:pPr>
      <w:r w:rsidRPr="00E420FB">
        <w:t xml:space="preserve">The BD/CCE </w:t>
      </w:r>
      <w:r>
        <w:rPr>
          <w:lang w:val="en-US"/>
        </w:rPr>
        <w:t xml:space="preserve">budget </w:t>
      </w:r>
      <w:r>
        <w:rPr>
          <w:lang w:val="en-GB" w:eastAsia="ja-JP"/>
        </w:rPr>
        <w:t xml:space="preserve">for the X-slot window has not seen </w:t>
      </w:r>
      <w:r w:rsidR="00B911A9">
        <w:rPr>
          <w:lang w:val="en-GB" w:eastAsia="ja-JP"/>
        </w:rPr>
        <w:t>finalized</w:t>
      </w:r>
      <w:r>
        <w:rPr>
          <w:lang w:val="en-GB" w:eastAsia="ja-JP"/>
        </w:rPr>
        <w:t xml:space="preserve"> in RAN1. With the end of the WI approaching, more discussion is urgently needed in this area. </w:t>
      </w:r>
    </w:p>
    <w:p w14:paraId="556B6EFF" w14:textId="77777777" w:rsidR="00B252A2" w:rsidRDefault="00B252A2" w:rsidP="00B252A2">
      <w:pPr>
        <w:rPr>
          <w:lang w:val="en-GB" w:eastAsia="ja-JP"/>
        </w:rPr>
      </w:pPr>
      <w:r>
        <w:rPr>
          <w:lang w:val="en-GB" w:eastAsia="ja-JP"/>
        </w:rPr>
        <w:t>In addition to the support of X=4 for 480 kHz SCS and X=8 for 960 kHz SCS, several companies proposed the support of per-slot PDCCH monitoring as well as multi-slot PDCCH monitoring other than these two cases as optional UE capabilities. In our view, this distracts and slows down RAN1 from finalizing the core multi-slot PDCCH monitoring designs. Therefore, we propose</w:t>
      </w:r>
    </w:p>
    <w:p w14:paraId="158DFE50" w14:textId="45F44FE6" w:rsidR="00B252A2" w:rsidRPr="0096304A" w:rsidRDefault="00B252A2" w:rsidP="00B252A2">
      <w:pPr>
        <w:pStyle w:val="Proposal"/>
        <w:overflowPunct w:val="0"/>
        <w:autoSpaceDE w:val="0"/>
        <w:autoSpaceDN w:val="0"/>
        <w:adjustRightInd w:val="0"/>
        <w:spacing w:line="240" w:lineRule="auto"/>
        <w:textAlignment w:val="baseline"/>
        <w:rPr>
          <w:rFonts w:eastAsiaTheme="minorEastAsia"/>
        </w:rPr>
      </w:pPr>
      <w:bookmarkStart w:id="57" w:name="_Toc87014525"/>
      <w:r>
        <w:t xml:space="preserve">For </w:t>
      </w:r>
      <w:r>
        <w:rPr>
          <w:rFonts w:eastAsiaTheme="minorEastAsia"/>
        </w:rPr>
        <w:t>operation with 480/960 kHz SCS</w:t>
      </w:r>
      <w:r>
        <w:t xml:space="preserve">, </w:t>
      </w:r>
      <w:r>
        <w:rPr>
          <w:lang w:val="en-GB" w:eastAsia="ja-JP"/>
        </w:rPr>
        <w:t>multi-slot PDCCH monitoring other than X=4 for 480 kHz SCS and X=8 for 960 kHz SCS is deferred until RAN1 completes the details of multi-slot PDCCH monitoring with X=4 for 480 kHz SCS and X=8 for 960 kHz SCS including at least</w:t>
      </w:r>
      <w:r>
        <w:rPr>
          <w:lang w:val="en-GB" w:eastAsia="ja-JP"/>
        </w:rPr>
        <w:br/>
        <w:t xml:space="preserve">(1) </w:t>
      </w:r>
      <w:r w:rsidR="0073327F">
        <w:rPr>
          <w:lang w:eastAsia="ja-JP"/>
        </w:rPr>
        <w:t>Details of multi-slot PDCCH monitoring</w:t>
      </w:r>
      <w:r>
        <w:rPr>
          <w:lang w:val="en-GB" w:eastAsia="ja-JP"/>
        </w:rPr>
        <w:t>?</w:t>
      </w:r>
      <w:r>
        <w:rPr>
          <w:lang w:val="en-GB" w:eastAsia="ja-JP"/>
        </w:rPr>
        <w:br/>
        <w:t>(2) The minimum supported values of Y</w:t>
      </w:r>
      <w:r w:rsidRPr="001B2DE8">
        <w:rPr>
          <w:lang w:eastAsia="ja-JP"/>
        </w:rPr>
        <w:t xml:space="preserve"> </w:t>
      </w:r>
      <w:r>
        <w:rPr>
          <w:lang w:eastAsia="ja-JP"/>
        </w:rPr>
        <w:t>for the respective X values?</w:t>
      </w:r>
      <w:r>
        <w:rPr>
          <w:lang w:val="en-GB" w:eastAsia="ja-JP"/>
        </w:rPr>
        <w:br/>
        <w:t>(3) What symbols within the Y slots for PDCCH monitoring?</w:t>
      </w:r>
      <w:r>
        <w:rPr>
          <w:lang w:val="en-GB" w:eastAsia="ja-JP"/>
        </w:rPr>
        <w:br/>
        <w:t>(4) The BD/CCE budget requirement for the X-slot window?</w:t>
      </w:r>
      <w:bookmarkEnd w:id="57"/>
    </w:p>
    <w:p w14:paraId="0361F618" w14:textId="77777777" w:rsidR="00B252A2" w:rsidRDefault="00B252A2" w:rsidP="00B252A2">
      <w:pPr>
        <w:rPr>
          <w:lang w:val="en-GB" w:eastAsia="ja-JP"/>
        </w:rPr>
      </w:pPr>
    </w:p>
    <w:p w14:paraId="602A9E94" w14:textId="77777777" w:rsidR="00B252A2" w:rsidRDefault="00B252A2" w:rsidP="00B252A2">
      <w:pPr>
        <w:rPr>
          <w:lang w:val="en-GB" w:eastAsia="ja-JP"/>
        </w:rPr>
      </w:pPr>
      <w:r>
        <w:rPr>
          <w:lang w:val="en-GB" w:eastAsia="ja-JP"/>
        </w:rPr>
        <w:t>During the RAN1 #106e email discussion, several companies pointed out that, for per-slot PDCCH monitoring, only two aspects out of the above list need to be clarified and defined:</w:t>
      </w:r>
    </w:p>
    <w:p w14:paraId="5E1285E1" w14:textId="77777777" w:rsidR="00B252A2" w:rsidRPr="00F74D59" w:rsidRDefault="00B252A2" w:rsidP="00A702E8">
      <w:pPr>
        <w:pStyle w:val="StyleListParagraph-BulletsLista11"/>
        <w:numPr>
          <w:ilvl w:val="0"/>
          <w:numId w:val="18"/>
        </w:numPr>
        <w:spacing w:after="160"/>
        <w:contextualSpacing/>
        <w:rPr>
          <w:lang w:val="en-US" w:eastAsia="ja-JP"/>
        </w:rPr>
      </w:pPr>
      <w:r w:rsidRPr="00F74D59">
        <w:rPr>
          <w:lang w:val="en-US" w:eastAsia="ja-JP"/>
        </w:rPr>
        <w:t>What symbols within a slot for PDCCH monitoring?</w:t>
      </w:r>
    </w:p>
    <w:p w14:paraId="07A6FB15" w14:textId="77777777" w:rsidR="00B252A2" w:rsidRPr="00F74D59" w:rsidRDefault="00B252A2" w:rsidP="00A702E8">
      <w:pPr>
        <w:pStyle w:val="StyleListParagraph-BulletsLista11"/>
        <w:numPr>
          <w:ilvl w:val="0"/>
          <w:numId w:val="18"/>
        </w:numPr>
        <w:spacing w:after="160"/>
        <w:contextualSpacing/>
        <w:rPr>
          <w:lang w:val="en-US" w:eastAsia="ja-JP"/>
        </w:rPr>
      </w:pPr>
      <w:r w:rsidRPr="00F74D59">
        <w:rPr>
          <w:lang w:val="en-US" w:eastAsia="ja-JP"/>
        </w:rPr>
        <w:t xml:space="preserve">The BD/CCE budget </w:t>
      </w:r>
      <w:r>
        <w:rPr>
          <w:lang w:val="en-GB" w:eastAsia="ja-JP"/>
        </w:rPr>
        <w:t xml:space="preserve">requirement </w:t>
      </w:r>
      <w:r w:rsidRPr="00F74D59">
        <w:rPr>
          <w:lang w:val="en-US" w:eastAsia="ja-JP"/>
        </w:rPr>
        <w:t>for a slot</w:t>
      </w:r>
      <w:r>
        <w:rPr>
          <w:lang w:val="en-US" w:eastAsia="ja-JP"/>
        </w:rPr>
        <w:t>?</w:t>
      </w:r>
    </w:p>
    <w:p w14:paraId="2BFB0F26" w14:textId="77777777" w:rsidR="00B252A2" w:rsidRDefault="00B252A2" w:rsidP="00B252A2">
      <w:pPr>
        <w:rPr>
          <w:lang w:val="en-GB" w:eastAsia="ja-JP"/>
        </w:rPr>
      </w:pPr>
      <w:r>
        <w:rPr>
          <w:lang w:val="en-GB" w:eastAsia="ja-JP"/>
        </w:rPr>
        <w:t xml:space="preserve">Companies thus proposed that per-slot PDCCH monitoring can be discussed in parallel to the above two multi-slot PDCCH monitoring cases. </w:t>
      </w:r>
    </w:p>
    <w:p w14:paraId="5980F953" w14:textId="7EC01CC9" w:rsidR="00B252A2" w:rsidRPr="00A86420" w:rsidRDefault="00B252A2" w:rsidP="00B252A2">
      <w:r w:rsidRPr="00A86420">
        <w:t xml:space="preserve">Intra-slot </w:t>
      </w:r>
      <w:r>
        <w:rPr>
          <w:lang w:val="en-GB" w:eastAsia="ja-JP"/>
        </w:rPr>
        <w:t xml:space="preserve">PDCCH </w:t>
      </w:r>
      <w:r w:rsidRPr="00A86420">
        <w:t>monitoring case 2</w:t>
      </w:r>
      <w:r w:rsidR="00F702BE" w:rsidRPr="00A86420">
        <w:t xml:space="preserve"> </w:t>
      </w:r>
      <w:r w:rsidR="000346A1">
        <w:t>(Rel-15 FG 3-5)</w:t>
      </w:r>
      <w:r w:rsidRPr="00A86420">
        <w:t xml:space="preserve"> capability was introduced to support mini slots (Type B PDSCH mapping) for the existing FR1/FR2 bands. However, as the following table shows, the slot duration for 480/960 kHz SCS is very short to start with. The 480/960 kHz SCS slot duration is in fact comparable </w:t>
      </w:r>
      <w:r>
        <w:t xml:space="preserve">to or even shorter than </w:t>
      </w:r>
      <w:r w:rsidRPr="00A86420">
        <w:t>the duration of a 3-symbol mini-slot in 120 kHz SCS. Therefore, it is our view that there is no need to have such flexible monitoring within a slot.</w:t>
      </w:r>
    </w:p>
    <w:tbl>
      <w:tblPr>
        <w:tblStyle w:val="TableGrid"/>
        <w:tblW w:w="0" w:type="auto"/>
        <w:tblInd w:w="1345" w:type="dxa"/>
        <w:tblLook w:val="04A0" w:firstRow="1" w:lastRow="0" w:firstColumn="1" w:lastColumn="0" w:noHBand="0" w:noVBand="1"/>
      </w:tblPr>
      <w:tblGrid>
        <w:gridCol w:w="3055"/>
        <w:gridCol w:w="1170"/>
        <w:gridCol w:w="1171"/>
        <w:gridCol w:w="1170"/>
      </w:tblGrid>
      <w:tr w:rsidR="00B252A2" w:rsidRPr="00A86420" w14:paraId="59953145" w14:textId="77777777" w:rsidTr="00672E28">
        <w:tc>
          <w:tcPr>
            <w:tcW w:w="3055" w:type="dxa"/>
            <w:tcBorders>
              <w:bottom w:val="double" w:sz="4" w:space="0" w:color="auto"/>
              <w:right w:val="double" w:sz="4" w:space="0" w:color="auto"/>
            </w:tcBorders>
            <w:vAlign w:val="bottom"/>
          </w:tcPr>
          <w:p w14:paraId="43E9BACC"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SCS [kHz]</w:t>
            </w:r>
          </w:p>
        </w:tc>
        <w:tc>
          <w:tcPr>
            <w:tcW w:w="1170" w:type="dxa"/>
            <w:tcBorders>
              <w:left w:val="double" w:sz="4" w:space="0" w:color="auto"/>
              <w:bottom w:val="double" w:sz="4" w:space="0" w:color="auto"/>
            </w:tcBorders>
            <w:vAlign w:val="bottom"/>
          </w:tcPr>
          <w:p w14:paraId="78AFEF2F"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120</w:t>
            </w:r>
          </w:p>
        </w:tc>
        <w:tc>
          <w:tcPr>
            <w:tcW w:w="1171" w:type="dxa"/>
            <w:tcBorders>
              <w:bottom w:val="double" w:sz="4" w:space="0" w:color="auto"/>
            </w:tcBorders>
            <w:vAlign w:val="bottom"/>
          </w:tcPr>
          <w:p w14:paraId="1077DE6E"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480</w:t>
            </w:r>
          </w:p>
        </w:tc>
        <w:tc>
          <w:tcPr>
            <w:tcW w:w="1170" w:type="dxa"/>
            <w:tcBorders>
              <w:bottom w:val="double" w:sz="4" w:space="0" w:color="auto"/>
            </w:tcBorders>
            <w:vAlign w:val="bottom"/>
          </w:tcPr>
          <w:p w14:paraId="619CDB48"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960</w:t>
            </w:r>
          </w:p>
        </w:tc>
      </w:tr>
      <w:tr w:rsidR="00B252A2" w:rsidRPr="00A86420" w14:paraId="45144C1A" w14:textId="77777777" w:rsidTr="00672E28">
        <w:tc>
          <w:tcPr>
            <w:tcW w:w="3055" w:type="dxa"/>
            <w:tcBorders>
              <w:top w:val="double" w:sz="4" w:space="0" w:color="auto"/>
              <w:right w:val="double" w:sz="4" w:space="0" w:color="auto"/>
            </w:tcBorders>
            <w:vAlign w:val="bottom"/>
          </w:tcPr>
          <w:p w14:paraId="4B901548"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Slot duration [μs]</w:t>
            </w:r>
          </w:p>
        </w:tc>
        <w:tc>
          <w:tcPr>
            <w:tcW w:w="1170" w:type="dxa"/>
            <w:tcBorders>
              <w:top w:val="double" w:sz="4" w:space="0" w:color="auto"/>
              <w:left w:val="double" w:sz="4" w:space="0" w:color="auto"/>
            </w:tcBorders>
            <w:vAlign w:val="bottom"/>
          </w:tcPr>
          <w:p w14:paraId="718D569A"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125</w:t>
            </w:r>
          </w:p>
        </w:tc>
        <w:tc>
          <w:tcPr>
            <w:tcW w:w="1171" w:type="dxa"/>
            <w:tcBorders>
              <w:top w:val="double" w:sz="4" w:space="0" w:color="auto"/>
              <w:bottom w:val="single" w:sz="4" w:space="0" w:color="auto"/>
            </w:tcBorders>
            <w:vAlign w:val="bottom"/>
          </w:tcPr>
          <w:p w14:paraId="56403DEA"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31.25</w:t>
            </w:r>
          </w:p>
        </w:tc>
        <w:tc>
          <w:tcPr>
            <w:tcW w:w="1170" w:type="dxa"/>
            <w:tcBorders>
              <w:top w:val="double" w:sz="4" w:space="0" w:color="auto"/>
              <w:bottom w:val="single" w:sz="4" w:space="0" w:color="auto"/>
            </w:tcBorders>
            <w:vAlign w:val="bottom"/>
          </w:tcPr>
          <w:p w14:paraId="79943077"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15.63</w:t>
            </w:r>
          </w:p>
        </w:tc>
      </w:tr>
      <w:tr w:rsidR="00B252A2" w:rsidRPr="00A86420" w14:paraId="401D0371" w14:textId="77777777" w:rsidTr="00672E28">
        <w:tc>
          <w:tcPr>
            <w:tcW w:w="3055" w:type="dxa"/>
            <w:tcBorders>
              <w:right w:val="double" w:sz="4" w:space="0" w:color="auto"/>
            </w:tcBorders>
          </w:tcPr>
          <w:p w14:paraId="36B8597D"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Duration of 3 symbols [μs]</w:t>
            </w:r>
          </w:p>
        </w:tc>
        <w:tc>
          <w:tcPr>
            <w:tcW w:w="1170" w:type="dxa"/>
            <w:tcBorders>
              <w:left w:val="double" w:sz="4" w:space="0" w:color="auto"/>
            </w:tcBorders>
          </w:tcPr>
          <w:p w14:paraId="594DD44B" w14:textId="77777777" w:rsidR="00B252A2" w:rsidRPr="00A86420" w:rsidRDefault="00B252A2" w:rsidP="00672E28">
            <w:pPr>
              <w:pStyle w:val="BodyText"/>
              <w:spacing w:before="40" w:after="40"/>
              <w:jc w:val="center"/>
              <w:rPr>
                <w:rFonts w:eastAsiaTheme="minorEastAsia" w:cs="Arial"/>
                <w:color w:val="000000" w:themeColor="text1"/>
                <w:kern w:val="24"/>
              </w:rPr>
            </w:pPr>
            <w:r w:rsidRPr="00A86420">
              <w:rPr>
                <w:rFonts w:eastAsiaTheme="minorEastAsia" w:cs="Arial"/>
                <w:color w:val="000000" w:themeColor="text1"/>
                <w:kern w:val="24"/>
              </w:rPr>
              <w:t>26.8</w:t>
            </w:r>
          </w:p>
        </w:tc>
        <w:tc>
          <w:tcPr>
            <w:tcW w:w="1171" w:type="dxa"/>
            <w:tcBorders>
              <w:bottom w:val="nil"/>
              <w:right w:val="nil"/>
            </w:tcBorders>
          </w:tcPr>
          <w:p w14:paraId="19D630D1" w14:textId="77777777" w:rsidR="00B252A2" w:rsidRPr="00A86420" w:rsidRDefault="00B252A2" w:rsidP="00672E28">
            <w:pPr>
              <w:pStyle w:val="BodyText"/>
              <w:spacing w:before="40" w:after="40"/>
              <w:jc w:val="center"/>
              <w:rPr>
                <w:rFonts w:eastAsiaTheme="minorEastAsia" w:cs="Arial"/>
                <w:color w:val="000000" w:themeColor="text1"/>
                <w:kern w:val="24"/>
              </w:rPr>
            </w:pPr>
          </w:p>
        </w:tc>
        <w:tc>
          <w:tcPr>
            <w:tcW w:w="1170" w:type="dxa"/>
            <w:tcBorders>
              <w:left w:val="nil"/>
              <w:bottom w:val="nil"/>
              <w:right w:val="nil"/>
            </w:tcBorders>
          </w:tcPr>
          <w:p w14:paraId="491B8729" w14:textId="77777777" w:rsidR="00B252A2" w:rsidRPr="00A86420" w:rsidRDefault="00B252A2" w:rsidP="00672E28">
            <w:pPr>
              <w:pStyle w:val="BodyText"/>
              <w:spacing w:before="40" w:after="40"/>
              <w:jc w:val="center"/>
              <w:rPr>
                <w:rFonts w:eastAsiaTheme="minorEastAsia" w:cs="Arial"/>
                <w:color w:val="000000" w:themeColor="text1"/>
                <w:kern w:val="24"/>
              </w:rPr>
            </w:pPr>
          </w:p>
        </w:tc>
      </w:tr>
    </w:tbl>
    <w:p w14:paraId="3419CDD5" w14:textId="77777777" w:rsidR="00B252A2" w:rsidRDefault="00B252A2" w:rsidP="00B252A2">
      <w:pPr>
        <w:spacing w:after="0"/>
        <w:rPr>
          <w:lang w:val="en-GB" w:eastAsia="ja-JP"/>
        </w:rPr>
      </w:pPr>
    </w:p>
    <w:p w14:paraId="5CFA3EAB" w14:textId="1BCBF0FA" w:rsidR="00B252A2" w:rsidRDefault="00B252A2" w:rsidP="00B252A2">
      <w:pPr>
        <w:rPr>
          <w:lang w:eastAsia="ja-JP"/>
        </w:rPr>
      </w:pPr>
      <w:r>
        <w:t xml:space="preserve">The central issue for </w:t>
      </w:r>
      <w:r>
        <w:rPr>
          <w:lang w:val="en-GB" w:eastAsia="ja-JP"/>
        </w:rPr>
        <w:t>per-slot PDCCH monitoring</w:t>
      </w:r>
      <w:r>
        <w:t xml:space="preserve"> is hence the </w:t>
      </w:r>
      <w:r w:rsidRPr="00F74D59">
        <w:rPr>
          <w:lang w:eastAsia="ja-JP"/>
        </w:rPr>
        <w:t>BD/CCE budget for a slot</w:t>
      </w:r>
      <w:r>
        <w:rPr>
          <w:lang w:eastAsia="ja-JP"/>
        </w:rPr>
        <w:t>, which has not seen any progress in RAN1. Therefore, we propose that if per-slot PDCCH monitoring is discussed</w:t>
      </w:r>
      <w:r w:rsidR="00214649">
        <w:rPr>
          <w:lang w:eastAsia="ja-JP"/>
        </w:rPr>
        <w:t>,</w:t>
      </w:r>
      <w:r>
        <w:rPr>
          <w:lang w:eastAsia="ja-JP"/>
        </w:rPr>
        <w:t xml:space="preserve"> the discussion must start with the BD/CCE budget. Furthermore, we observe that in Rel-15, the CCE budget is 32 for 120 kHz, which is enough to cover (with a small margin) the requirements for monitoring Type0-PDCCH CSS (7 BDs / 28 CCEs). Hence, if optional per-slot monitoring is supported for 480/960 kHz, the BD/CCE budget can be no less than the 120 kHz value. Note further that companies motivated the introduction of the optional per-slot PDCCH monitoring </w:t>
      </w:r>
      <w:proofErr w:type="gramStart"/>
      <w:r>
        <w:rPr>
          <w:lang w:eastAsia="ja-JP"/>
        </w:rPr>
        <w:t>on the basis of</w:t>
      </w:r>
      <w:proofErr w:type="gramEnd"/>
      <w:r>
        <w:rPr>
          <w:lang w:eastAsia="ja-JP"/>
        </w:rPr>
        <w:t xml:space="preserve"> URLLC applications requiring very low latency. UEs supporting such URLCC applications should be expected to be equipped with enhanced and accelerated processing capabilities.</w:t>
      </w:r>
    </w:p>
    <w:p w14:paraId="0742FB3E" w14:textId="77777777" w:rsidR="00B252A2" w:rsidRPr="009B33AA" w:rsidRDefault="00B252A2" w:rsidP="00B252A2">
      <w:pPr>
        <w:pStyle w:val="Proposal"/>
        <w:overflowPunct w:val="0"/>
        <w:autoSpaceDE w:val="0"/>
        <w:autoSpaceDN w:val="0"/>
        <w:adjustRightInd w:val="0"/>
        <w:spacing w:line="240" w:lineRule="auto"/>
        <w:textAlignment w:val="baseline"/>
        <w:rPr>
          <w:rFonts w:eastAsiaTheme="minorEastAsia"/>
        </w:rPr>
      </w:pPr>
      <w:bookmarkStart w:id="58" w:name="_Toc87014526"/>
      <w:r>
        <w:t xml:space="preserve">For </w:t>
      </w:r>
      <w:r>
        <w:rPr>
          <w:rFonts w:eastAsiaTheme="minorEastAsia"/>
        </w:rPr>
        <w:t>operation with 480/960 kHz SCS</w:t>
      </w:r>
      <w:r>
        <w:t>, if the optional per</w:t>
      </w:r>
      <w:r>
        <w:rPr>
          <w:lang w:val="en-GB" w:eastAsia="ja-JP"/>
        </w:rPr>
        <w:t xml:space="preserve">-slot PDCCH monitoring is discussed, the discussion in RAN1 should start with defining the </w:t>
      </w:r>
      <w:r w:rsidRPr="00F74D59">
        <w:rPr>
          <w:lang w:eastAsia="ja-JP"/>
        </w:rPr>
        <w:t>BD/CCE budget for a slot</w:t>
      </w:r>
      <w:r>
        <w:rPr>
          <w:lang w:eastAsia="ja-JP"/>
        </w:rPr>
        <w:t xml:space="preserve"> while ensuring that Rel-15 Type0-PDCCH monitoring requirements can be met.</w:t>
      </w:r>
      <w:bookmarkEnd w:id="58"/>
    </w:p>
    <w:p w14:paraId="2FAD3A30" w14:textId="77777777" w:rsidR="00B252A2" w:rsidRDefault="00B252A2" w:rsidP="00B252A2">
      <w:pPr>
        <w:pStyle w:val="BodyText"/>
        <w:rPr>
          <w:rFonts w:eastAsiaTheme="minorEastAsia"/>
        </w:rPr>
      </w:pPr>
    </w:p>
    <w:p w14:paraId="239E13EA" w14:textId="77777777" w:rsidR="00B252A2" w:rsidRDefault="00B252A2" w:rsidP="00B252A2">
      <w:pPr>
        <w:pStyle w:val="BodyText"/>
        <w:rPr>
          <w:rFonts w:eastAsiaTheme="minorEastAsia"/>
        </w:rPr>
      </w:pPr>
      <w:r>
        <w:rPr>
          <w:rFonts w:eastAsiaTheme="minorEastAsia"/>
        </w:rPr>
        <w:t>In our view, the following three PDCCH monitoring cases are sufficient for operation with 480/960 kHz SCS:</w:t>
      </w:r>
    </w:p>
    <w:p w14:paraId="026EAEA2" w14:textId="77777777" w:rsidR="00B252A2" w:rsidRDefault="00B252A2" w:rsidP="00A702E8">
      <w:pPr>
        <w:pStyle w:val="BodyText"/>
        <w:numPr>
          <w:ilvl w:val="0"/>
          <w:numId w:val="19"/>
        </w:numPr>
        <w:contextualSpacing/>
        <w:rPr>
          <w:rFonts w:eastAsiaTheme="minorEastAsia"/>
        </w:rPr>
      </w:pPr>
      <w:r w:rsidRPr="00A93200">
        <w:rPr>
          <w:rFonts w:eastAsiaTheme="minorEastAsia"/>
        </w:rPr>
        <w:lastRenderedPageBreak/>
        <w:t>X=4 for 480 kHz SCS</w:t>
      </w:r>
    </w:p>
    <w:p w14:paraId="6B2E4049" w14:textId="77777777" w:rsidR="00B252A2" w:rsidRDefault="00B252A2" w:rsidP="00A702E8">
      <w:pPr>
        <w:pStyle w:val="BodyText"/>
        <w:numPr>
          <w:ilvl w:val="0"/>
          <w:numId w:val="19"/>
        </w:numPr>
        <w:contextualSpacing/>
        <w:rPr>
          <w:rFonts w:eastAsiaTheme="minorEastAsia"/>
        </w:rPr>
      </w:pPr>
      <w:r w:rsidRPr="00A93200">
        <w:rPr>
          <w:rFonts w:eastAsiaTheme="minorEastAsia"/>
        </w:rPr>
        <w:t>X=8 for 960 kHz SCS</w:t>
      </w:r>
    </w:p>
    <w:p w14:paraId="68651CA4" w14:textId="0627E39B" w:rsidR="00B252A2" w:rsidRDefault="00B252A2" w:rsidP="00A702E8">
      <w:pPr>
        <w:pStyle w:val="BodyText"/>
        <w:numPr>
          <w:ilvl w:val="0"/>
          <w:numId w:val="19"/>
        </w:numPr>
        <w:contextualSpacing/>
        <w:rPr>
          <w:rFonts w:eastAsiaTheme="minorEastAsia"/>
        </w:rPr>
      </w:pPr>
      <w:r>
        <w:rPr>
          <w:rFonts w:eastAsiaTheme="minorEastAsia"/>
        </w:rPr>
        <w:t>Optional per-slot monitoring for 480/960 kHz SCS</w:t>
      </w:r>
      <w:r w:rsidR="00C04846">
        <w:rPr>
          <w:rFonts w:eastAsiaTheme="minorEastAsia"/>
        </w:rPr>
        <w:t xml:space="preserve"> </w:t>
      </w:r>
      <w:r w:rsidR="004C6E8E">
        <w:rPr>
          <w:rFonts w:eastAsiaTheme="minorEastAsia"/>
        </w:rPr>
        <w:t>for URLLC use cases</w:t>
      </w:r>
    </w:p>
    <w:p w14:paraId="0A08B48B" w14:textId="77777777" w:rsidR="00B252A2" w:rsidRDefault="00B252A2" w:rsidP="00B252A2">
      <w:pPr>
        <w:rPr>
          <w:rFonts w:eastAsiaTheme="minorEastAsia"/>
        </w:rPr>
      </w:pPr>
      <w:r>
        <w:rPr>
          <w:rFonts w:eastAsiaTheme="minorEastAsia"/>
        </w:rPr>
        <w:t>The same scheduling frequency and granularity as a 120 kHz SCS cell can be achieved w</w:t>
      </w:r>
      <w:proofErr w:type="spellStart"/>
      <w:r>
        <w:rPr>
          <w:lang w:val="en-GB" w:eastAsia="ja-JP"/>
        </w:rPr>
        <w:t>ith</w:t>
      </w:r>
      <w:proofErr w:type="spellEnd"/>
      <w:r>
        <w:rPr>
          <w:lang w:val="en-GB" w:eastAsia="ja-JP"/>
        </w:rPr>
        <w:t xml:space="preserve"> X&gt;1 multi-slot </w:t>
      </w:r>
      <w:r>
        <w:rPr>
          <w:rFonts w:eastAsiaTheme="minorEastAsia"/>
        </w:rPr>
        <w:t>PDCCH monitoring for 480/960 kHz SCS. For applications with low latency requirements, per-slot PDCCH monitoring with 480/960 kHz SCS can meet the same low latency achievable with mini-slots on a 120 kHz SCS cell. Furthermore, RAN1 has only agreed processing latency requirements on N1/N2/N3/Z1/Z2/Z3 for 480/960 kHz SCS that are multiples of the processing latency requirements for 120 kHz SCS. There has been no evidence or evaluation results to indicate the additional benefits of introducing other window sizes other than the above three PDCCH monitoring cases for 480/960 kHz SCS. Therefore, we propose</w:t>
      </w:r>
    </w:p>
    <w:p w14:paraId="0B0300BB" w14:textId="151BBA0C" w:rsidR="00B252A2" w:rsidRDefault="00B252A2" w:rsidP="00B252A2">
      <w:pPr>
        <w:pStyle w:val="Proposal"/>
      </w:pPr>
      <w:bookmarkStart w:id="59" w:name="_Toc87014527"/>
      <w:r>
        <w:t xml:space="preserve">Multi-slot PDCCH monitoring window sizes X&gt;1 other than </w:t>
      </w:r>
      <w:r w:rsidRPr="00A93200">
        <w:rPr>
          <w:rFonts w:eastAsiaTheme="minorEastAsia"/>
        </w:rPr>
        <w:t>X=4 for 480 kHz SCS and X=8 for 960 kHz SCS</w:t>
      </w:r>
      <w:r>
        <w:rPr>
          <w:rFonts w:eastAsiaTheme="minorEastAsia"/>
        </w:rPr>
        <w:t xml:space="preserve"> </w:t>
      </w:r>
      <w:proofErr w:type="gramStart"/>
      <w:r>
        <w:rPr>
          <w:rFonts w:eastAsiaTheme="minorEastAsia"/>
        </w:rPr>
        <w:t>are</w:t>
      </w:r>
      <w:proofErr w:type="gramEnd"/>
      <w:r>
        <w:rPr>
          <w:rFonts w:eastAsiaTheme="minorEastAsia"/>
        </w:rPr>
        <w:t xml:space="preserve"> not supported for Rel-17</w:t>
      </w:r>
      <w:r>
        <w:t>.</w:t>
      </w:r>
      <w:bookmarkEnd w:id="59"/>
    </w:p>
    <w:p w14:paraId="51881040" w14:textId="3E73CDF2" w:rsidR="002D0436" w:rsidRDefault="002D0436" w:rsidP="00791B18"/>
    <w:p w14:paraId="3964E455" w14:textId="28FCA65D" w:rsidR="00B37F9E" w:rsidRDefault="007F0687" w:rsidP="001F28DE">
      <w:pPr>
        <w:pStyle w:val="Heading3"/>
      </w:pPr>
      <w:bookmarkStart w:id="60" w:name="_Toc67653044"/>
      <w:bookmarkStart w:id="61" w:name="_Toc86845013"/>
      <w:r>
        <w:t>2.</w:t>
      </w:r>
      <w:r w:rsidR="001F28DE">
        <w:t>1.6</w:t>
      </w:r>
      <w:r w:rsidRPr="00C81EDA">
        <w:tab/>
      </w:r>
      <w:r w:rsidR="0078038F">
        <w:t>UE BD/CCE c</w:t>
      </w:r>
      <w:r w:rsidR="00B37F9E">
        <w:t>apability for multi-slot PDCCH monitoring</w:t>
      </w:r>
      <w:bookmarkEnd w:id="60"/>
      <w:r w:rsidR="000E388D">
        <w:t xml:space="preserve"> for MBB applications</w:t>
      </w:r>
      <w:bookmarkEnd w:id="61"/>
    </w:p>
    <w:p w14:paraId="19CFD7A3" w14:textId="69813FA8" w:rsidR="008B04EA" w:rsidRDefault="008B04EA" w:rsidP="00591A94">
      <w:pPr>
        <w:pStyle w:val="BodyText"/>
      </w:pPr>
      <w:r>
        <w:t>In this section, we first provide estimate of UE per-slot PDCCH processing capabilities for 480 and 960 kHz SCS</w:t>
      </w:r>
      <w:r w:rsidR="00584934" w:rsidRPr="00584934">
        <w:t xml:space="preserve"> </w:t>
      </w:r>
      <w:r w:rsidR="00584934">
        <w:t>for MBB applications</w:t>
      </w:r>
      <w:r>
        <w:t xml:space="preserve">. We then discuss the PDCCH processing capabilities for multiple </w:t>
      </w:r>
      <w:r w:rsidR="00D628DA">
        <w:t>slots.</w:t>
      </w:r>
    </w:p>
    <w:p w14:paraId="4C8944AC" w14:textId="77777777" w:rsidR="00E9206F" w:rsidRDefault="00E9206F" w:rsidP="00E9206F">
      <w:pPr>
        <w:pStyle w:val="BodyText"/>
      </w:pPr>
      <w:r w:rsidRPr="008247F0">
        <w:t>With short OFDM symbol durations associated with large SCSs, the amount of time for UE and gNB to perform several critical operations can become quite challenging.</w:t>
      </w:r>
      <w:r>
        <w:t xml:space="preserve"> Consider the UE PDCCH processing capabilities specified in Section 10.1 of </w:t>
      </w:r>
      <w:r w:rsidRPr="005B435E">
        <w:t>TS 38.213</w:t>
      </w:r>
      <w:r>
        <w:t xml:space="preserve"> in terms of number of </w:t>
      </w:r>
      <w:proofErr w:type="gramStart"/>
      <w:r>
        <w:t>blind</w:t>
      </w:r>
      <w:proofErr w:type="gramEnd"/>
      <w:r>
        <w:t xml:space="preserve"> decodes in Table 10.1-2 and number of CCEs in Table 10.1-3. For both sets of PDCCH processing capabilities, the quantities </w:t>
      </w:r>
      <w:r w:rsidRPr="00E455B9">
        <w:t>shrink exponentially</w:t>
      </w:r>
      <w:r>
        <w:t xml:space="preserve"> with SCS (value of </w:t>
      </w:r>
      <w:r>
        <w:rPr>
          <w:rFonts w:cs="Arial"/>
        </w:rPr>
        <w:t>µ</w:t>
      </w:r>
      <w:r>
        <w:t xml:space="preserve">). </w:t>
      </w:r>
    </w:p>
    <w:p w14:paraId="5A7FC225" w14:textId="77777777" w:rsidR="00E9206F" w:rsidRPr="000E4B12" w:rsidRDefault="00E9206F" w:rsidP="00E9206F">
      <w:pPr>
        <w:pStyle w:val="BodyText"/>
      </w:pPr>
      <w:r>
        <w:t xml:space="preserve">As a first step to start the processing timeline discussion, we fit simple formulae to the Rel-15 processing capabilities as the benchmarks for NR operation in 52.6 to 71 GHz. </w:t>
      </w:r>
      <w:r w:rsidRPr="000E4B12">
        <w:t>The Rel-15 PDCCH processing capabilities per slot can be fitted to simple formulae to obtain initial benchmarks for further discussion. Using the minimum mean absolute deviation fitting, the fitted PDCCH processing capabilities per slot are shown as follows:</w:t>
      </w:r>
    </w:p>
    <w:p w14:paraId="7247EFD6" w14:textId="1918B9FC" w:rsidR="00E9206F" w:rsidRPr="00BA04A6" w:rsidRDefault="00415413" w:rsidP="00E9206F">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aln/>
            </m:rPr>
            <w:rPr>
              <w:rFonts w:ascii="Cambria Math" w:hAnsi="Cambria Math"/>
            </w:rPr>
            <m:t>≅44×</m:t>
          </m:r>
          <m:sSup>
            <m:sSupPr>
              <m:ctrlPr>
                <w:rPr>
                  <w:rFonts w:ascii="Cambria Math" w:hAnsi="Cambria Math"/>
                </w:rPr>
              </m:ctrlPr>
            </m:sSupPr>
            <m:e>
              <m:r>
                <w:rPr>
                  <w:rFonts w:ascii="Cambria Math" w:hAnsi="Cambria Math"/>
                </w:rPr>
                <m:t>2</m:t>
              </m:r>
            </m:e>
            <m:sup>
              <m:r>
                <w:rPr>
                  <w:rFonts w:ascii="Cambria Math" w:hAnsi="Cambria Math"/>
                </w:rPr>
                <m:t>-0.38μ</m:t>
              </m:r>
            </m:sup>
          </m:sSup>
          <m:r>
            <m:rPr>
              <m:sty m:val="p"/>
            </m:rPr>
            <w:br/>
          </m:r>
        </m:oMath>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≅62.6×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-0.32</m:t>
              </m:r>
              <m:r>
                <w:rPr>
                  <w:rFonts w:ascii="Cambria Math" w:hAnsi="Cambria Math"/>
                </w:rPr>
                <m:t>μ</m:t>
              </m:r>
            </m:sup>
          </m:sSup>
        </m:oMath>
      </m:oMathPara>
    </w:p>
    <w:p w14:paraId="4CC8E23F" w14:textId="72883AC0" w:rsidR="00E9206F" w:rsidRPr="00B04ED4" w:rsidRDefault="00E9206F" w:rsidP="00E9206F">
      <w:pPr>
        <w:pStyle w:val="BodyText"/>
      </w:pPr>
      <w:r w:rsidRPr="00B24670">
        <w:t xml:space="preserve">The formula was optimized to minimize the mean absolute deviation from the Rel-15 values. </w:t>
      </w:r>
      <w:bookmarkStart w:id="62" w:name="_Hlk61353668"/>
      <w:r w:rsidRPr="00B24670">
        <w:t>The fitted formulae clearly exhibit exponential reduction in UE PDCCH processing capabilities with higher numerologies</w:t>
      </w:r>
      <w:r>
        <w:t xml:space="preserve"> as can be further observed in </w:t>
      </w:r>
      <w:r>
        <w:fldChar w:fldCharType="begin"/>
      </w:r>
      <w:r>
        <w:instrText xml:space="preserve"> REF _Ref60921413 \h </w:instrText>
      </w:r>
      <w:r>
        <w:fldChar w:fldCharType="separate"/>
      </w:r>
      <w:r w:rsidR="00357B6D">
        <w:t xml:space="preserve">Figure </w:t>
      </w:r>
      <w:r w:rsidR="00357B6D">
        <w:rPr>
          <w:noProof/>
        </w:rPr>
        <w:t>6</w:t>
      </w:r>
      <w:r>
        <w:fldChar w:fldCharType="end"/>
      </w:r>
      <w:r w:rsidRPr="00B24670">
        <w:t>.</w:t>
      </w:r>
      <w:bookmarkEnd w:id="62"/>
      <w:r>
        <w:t xml:space="preserve"> Since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Pr>
          <w:rFonts w:eastAsiaTheme="minorEastAsia"/>
        </w:rPr>
        <w:t xml:space="preserve"> for </w:t>
      </w:r>
      <m:oMath>
        <m:r>
          <w:rPr>
            <w:rFonts w:ascii="Cambria Math" w:eastAsiaTheme="minorEastAsia" w:hAnsi="Cambria Math"/>
          </w:rPr>
          <m:t>μ=0</m:t>
        </m:r>
      </m:oMath>
      <w:r>
        <w:rPr>
          <w:rFonts w:eastAsiaTheme="minorEastAsia"/>
        </w:rPr>
        <w:t xml:space="preserve"> and </w:t>
      </w:r>
      <m:oMath>
        <m:r>
          <w:rPr>
            <w:rFonts w:ascii="Cambria Math" w:eastAsiaTheme="minorEastAsia" w:hAnsi="Cambria Math"/>
          </w:rPr>
          <m:t>μ=1</m:t>
        </m:r>
      </m:oMath>
      <w:r>
        <w:rPr>
          <w:rFonts w:eastAsiaTheme="minorEastAsia"/>
        </w:rPr>
        <w:t xml:space="preserve"> are identical, the fitting uses a nominal </w:t>
      </w:r>
      <m:oMath>
        <m:r>
          <w:rPr>
            <w:rFonts w:ascii="Cambria Math" w:eastAsiaTheme="minorEastAsia" w:hAnsi="Cambria Math"/>
          </w:rPr>
          <m:t>μ=0.5</m:t>
        </m:r>
      </m:oMath>
      <w:r>
        <w:rPr>
          <w:rFonts w:eastAsiaTheme="minorEastAsia"/>
        </w:rPr>
        <w:t xml:space="preserve"> to pair with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w:rPr>
            <w:rFonts w:ascii="Cambria Math" w:hAnsi="Cambria Math"/>
          </w:rPr>
          <m:t>=56</m:t>
        </m:r>
      </m:oMath>
      <w:r>
        <w:rPr>
          <w:rFonts w:eastAsiaTheme="minorEastAsia"/>
        </w:rPr>
        <w:t xml:space="preserve"> as input.</w:t>
      </w:r>
    </w:p>
    <w:p w14:paraId="519C6E51" w14:textId="77777777" w:rsidR="00E9206F" w:rsidRDefault="00E9206F" w:rsidP="00E9206F">
      <w:pPr>
        <w:pStyle w:val="BodyText"/>
        <w:jc w:val="center"/>
      </w:pPr>
      <w:r>
        <w:rPr>
          <w:noProof/>
          <w:sz w:val="16"/>
          <w:szCs w:val="16"/>
          <w:lang w:eastAsia="en-US"/>
        </w:rPr>
        <w:drawing>
          <wp:inline distT="0" distB="0" distL="0" distR="0" wp14:anchorId="4CF79913" wp14:editId="51B849FD">
            <wp:extent cx="3200400" cy="2395728"/>
            <wp:effectExtent l="0" t="0" r="0" b="508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7940F4AF" w14:textId="2A723C2C" w:rsidR="00E9206F" w:rsidRDefault="00E9206F" w:rsidP="00E9206F">
      <w:pPr>
        <w:pStyle w:val="Caption"/>
        <w:jc w:val="center"/>
      </w:pPr>
      <w:bookmarkStart w:id="63" w:name="_Ref60921413"/>
      <w:bookmarkStart w:id="64" w:name="_Hlk61354178"/>
      <w:r>
        <w:t xml:space="preserve">Figure </w:t>
      </w:r>
      <w:r>
        <w:fldChar w:fldCharType="begin"/>
      </w:r>
      <w:r>
        <w:instrText xml:space="preserve"> SEQ Figure \* ARABIC </w:instrText>
      </w:r>
      <w:r>
        <w:fldChar w:fldCharType="separate"/>
      </w:r>
      <w:r w:rsidR="00357B6D">
        <w:rPr>
          <w:noProof/>
        </w:rPr>
        <w:t>6</w:t>
      </w:r>
      <w:r>
        <w:fldChar w:fldCharType="end"/>
      </w:r>
      <w:bookmarkEnd w:id="63"/>
      <w:r>
        <w:t>: Ex</w:t>
      </w:r>
      <w:r w:rsidRPr="00A92241">
        <w:t xml:space="preserve">trapolated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oMath>
      <w:r w:rsidRPr="00A92241">
        <w:rPr>
          <w:rFonts w:cs="Arial"/>
        </w:rPr>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max,slot,μ</m:t>
            </m:r>
          </m:sup>
        </m:sSubSup>
      </m:oMath>
      <w:r w:rsidRPr="00A92241">
        <w:rPr>
          <w:rFonts w:cs="Arial"/>
          <w:iCs/>
        </w:rPr>
        <w:t xml:space="preserve"> </w:t>
      </w:r>
      <w:r w:rsidRPr="00A92241">
        <w:rPr>
          <w:rFonts w:cs="Arial"/>
        </w:rPr>
        <w:t xml:space="preserve">values </w:t>
      </w:r>
      <w:r w:rsidRPr="000E4B12">
        <w:rPr>
          <w:rFonts w:cs="Arial"/>
        </w:rPr>
        <w:t>per slot</w:t>
      </w:r>
      <w:r w:rsidR="00AB5B0E">
        <w:rPr>
          <w:rFonts w:cs="Arial"/>
        </w:rPr>
        <w:t xml:space="preserve"> </w:t>
      </w:r>
      <w:r w:rsidR="00AB5B0E">
        <w:t>for MBB applications</w:t>
      </w:r>
    </w:p>
    <w:bookmarkEnd w:id="64"/>
    <w:p w14:paraId="4BF7E6EB" w14:textId="1D2DE020" w:rsidR="00E9206F" w:rsidRDefault="00E9206F" w:rsidP="00E9206F">
      <w:pPr>
        <w:pStyle w:val="BodyText"/>
      </w:pPr>
      <w:r w:rsidRPr="00295441">
        <w:lastRenderedPageBreak/>
        <w:t xml:space="preserve">The extrapolated UE PDCCH processing capabilities </w:t>
      </w:r>
      <w:r>
        <w:t xml:space="preserve">in </w:t>
      </w:r>
      <w:r>
        <w:fldChar w:fldCharType="begin"/>
      </w:r>
      <w:r>
        <w:instrText xml:space="preserve"> REF _Ref60921413 \h </w:instrText>
      </w:r>
      <w:r>
        <w:fldChar w:fldCharType="separate"/>
      </w:r>
      <w:r w:rsidR="00357B6D">
        <w:t xml:space="preserve">Figure </w:t>
      </w:r>
      <w:r w:rsidR="00357B6D">
        <w:rPr>
          <w:noProof/>
        </w:rPr>
        <w:t>6</w:t>
      </w:r>
      <w:r>
        <w:fldChar w:fldCharType="end"/>
      </w:r>
      <w:r>
        <w:t xml:space="preserve"> </w:t>
      </w:r>
      <w:r w:rsidRPr="00295441">
        <w:t xml:space="preserve">are </w:t>
      </w:r>
      <w:r>
        <w:t>tabulated in</w:t>
      </w:r>
      <w:r w:rsidRPr="00295441">
        <w:t xml:space="preserve"> </w:t>
      </w:r>
      <w:r w:rsidRPr="00295441">
        <w:fldChar w:fldCharType="begin"/>
      </w:r>
      <w:r w:rsidRPr="00295441">
        <w:instrText xml:space="preserve"> REF _Ref60824877 \h  \* MERGEFORMAT </w:instrText>
      </w:r>
      <w:r w:rsidRPr="00295441">
        <w:fldChar w:fldCharType="separate"/>
      </w:r>
      <w:r w:rsidR="00357B6D" w:rsidRPr="00F91CFE">
        <w:t xml:space="preserve"> </w:t>
      </w:r>
      <w:r w:rsidR="00357B6D">
        <w:t>Table</w:t>
      </w:r>
      <w:r w:rsidR="00357B6D">
        <w:rPr>
          <w:noProof/>
        </w:rPr>
        <w:t xml:space="preserve"> 1</w:t>
      </w:r>
      <w:r w:rsidRPr="00295441">
        <w:fldChar w:fldCharType="end"/>
      </w:r>
      <w:r>
        <w:t xml:space="preserve"> as a function of SCS</w:t>
      </w:r>
      <w:r w:rsidRPr="00295441">
        <w:t xml:space="preserve">. The numbers indicate there may be doubts on whether the UE operating with a SCS such as 960 kHz SCS can support even one AL-16 PDCCH </w:t>
      </w:r>
      <w:r>
        <w:t xml:space="preserve">considering the need to configure </w:t>
      </w:r>
      <w:proofErr w:type="gramStart"/>
      <w:r>
        <w:t>a number of</w:t>
      </w:r>
      <w:proofErr w:type="gramEnd"/>
      <w:r>
        <w:t xml:space="preserve"> common and UE specific search spaces with various aggregation levels.</w:t>
      </w:r>
    </w:p>
    <w:p w14:paraId="00629D44" w14:textId="4CCE955D" w:rsidR="00E9206F" w:rsidRPr="000E4B12" w:rsidRDefault="00E9206F" w:rsidP="00E9206F">
      <w:pPr>
        <w:pStyle w:val="Caption"/>
        <w:jc w:val="center"/>
        <w:rPr>
          <w:rFonts w:cs="Arial"/>
          <w:b w:val="0"/>
        </w:rPr>
      </w:pPr>
      <w:bookmarkStart w:id="65" w:name="_Ref60824877"/>
      <w:r w:rsidRPr="00F91CFE">
        <w:t xml:space="preserve"> </w:t>
      </w:r>
      <w:r>
        <w:t xml:space="preserve">Table </w:t>
      </w:r>
      <w:r>
        <w:fldChar w:fldCharType="begin"/>
      </w:r>
      <w:r>
        <w:instrText xml:space="preserve"> SEQ Table \* ARABIC </w:instrText>
      </w:r>
      <w:r>
        <w:fldChar w:fldCharType="separate"/>
      </w:r>
      <w:r w:rsidR="00357B6D">
        <w:rPr>
          <w:noProof/>
        </w:rPr>
        <w:t>1</w:t>
      </w:r>
      <w:r>
        <w:fldChar w:fldCharType="end"/>
      </w:r>
      <w:bookmarkEnd w:id="65"/>
      <w:r w:rsidRPr="000E4B12">
        <w:rPr>
          <w:rFonts w:cs="Arial"/>
        </w:rPr>
        <w:t xml:space="preserve">: Extrapolated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oMath>
      <w:r w:rsidRPr="000E4B12">
        <w:rPr>
          <w:rFonts w:cs="Arial"/>
        </w:rPr>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max,slot,μ</m:t>
            </m:r>
          </m:sup>
        </m:sSubSup>
      </m:oMath>
      <w:r w:rsidRPr="000E4B12">
        <w:rPr>
          <w:rFonts w:cs="Arial"/>
          <w:iCs/>
        </w:rPr>
        <w:t xml:space="preserve"> </w:t>
      </w:r>
      <w:r w:rsidRPr="000E4B12">
        <w:rPr>
          <w:rFonts w:cs="Arial"/>
        </w:rPr>
        <w:t>values per slot</w:t>
      </w:r>
      <w:r w:rsidR="00AB5B0E" w:rsidRPr="00AB5B0E">
        <w:t xml:space="preserve"> </w:t>
      </w:r>
      <w:r w:rsidR="00AB5B0E">
        <w:t>for MBB applications</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E9206F" w:rsidRPr="000E4B12" w14:paraId="19722C8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6237EFA6" w14:textId="77777777" w:rsidR="00E9206F" w:rsidRPr="000E4B12" w:rsidRDefault="00E9206F" w:rsidP="001415B6">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16F1AB1F" w14:textId="77777777" w:rsidR="00E9206F" w:rsidRPr="000E4B12" w:rsidRDefault="00E9206F" w:rsidP="001415B6">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03E70C5" w14:textId="77777777" w:rsidR="00E9206F" w:rsidRPr="000E4B12" w:rsidRDefault="00E9206F" w:rsidP="001415B6">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6790B5D"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CB5A16F"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EFF1770"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B32DDC1"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ADF7DF" w14:textId="77777777" w:rsidTr="001415B6">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4C23E561" w14:textId="2250CBCF" w:rsidR="00E9206F" w:rsidRPr="000E4B12" w:rsidRDefault="00415413" w:rsidP="001415B6">
            <w:pPr>
              <w:spacing w:before="40" w:after="40"/>
              <w:jc w:val="center"/>
              <w:rPr>
                <w:lang w:eastAsia="zh-CN"/>
              </w:rPr>
            </w:pPr>
            <m:oMathPara>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18239102" w14:textId="77777777" w:rsidR="00E9206F" w:rsidRPr="000E4B12" w:rsidRDefault="00E9206F" w:rsidP="001415B6">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277EBA3E" w14:textId="77777777" w:rsidR="00E9206F" w:rsidRPr="000E4B12" w:rsidRDefault="00E9206F" w:rsidP="001415B6">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43BB9F0F" w14:textId="77777777" w:rsidR="00E9206F" w:rsidRPr="000E4B12" w:rsidRDefault="00E9206F" w:rsidP="001415B6">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0FD1E7AE" w14:textId="77777777" w:rsidR="00E9206F" w:rsidRPr="000E4B12" w:rsidRDefault="00E9206F" w:rsidP="001415B6">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02B1C0E7" w14:textId="77777777" w:rsidR="00E9206F" w:rsidRPr="00F91CFE" w:rsidRDefault="00E9206F" w:rsidP="001415B6">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7842045A" w14:textId="77777777" w:rsidR="00E9206F" w:rsidRPr="00F91CFE" w:rsidRDefault="00E9206F" w:rsidP="001415B6">
            <w:pPr>
              <w:rPr>
                <w:rFonts w:ascii="Calibri" w:eastAsia="Calibri" w:hAnsi="Calibri" w:cs="Arial"/>
                <w:color w:val="FF0000"/>
              </w:rPr>
            </w:pPr>
          </w:p>
        </w:tc>
      </w:tr>
      <w:tr w:rsidR="00E9206F" w:rsidRPr="000E4B12" w14:paraId="468C2659"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080AE448" w14:textId="77777777" w:rsidR="00E9206F" w:rsidRPr="000E4B12" w:rsidRDefault="00E9206F" w:rsidP="001415B6">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24E44F76" w14:textId="77777777" w:rsidR="00E9206F" w:rsidRPr="000E4B12" w:rsidRDefault="00E9206F" w:rsidP="001415B6">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5C92946" w14:textId="77777777" w:rsidR="00E9206F" w:rsidRPr="000E4B12" w:rsidRDefault="00E9206F" w:rsidP="001415B6">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141403D" w14:textId="77777777" w:rsidR="00E9206F" w:rsidRPr="000E4B12" w:rsidRDefault="00E9206F" w:rsidP="001415B6">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6F4A4DE2" w14:textId="77777777" w:rsidR="00E9206F" w:rsidRPr="000E4B12" w:rsidRDefault="00E9206F" w:rsidP="001415B6">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09ABC55" w14:textId="77777777" w:rsidR="00E9206F" w:rsidRPr="00F91CFE" w:rsidRDefault="00E9206F" w:rsidP="001415B6">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B37CBA5" w14:textId="77777777" w:rsidR="00E9206F" w:rsidRPr="00F91CFE" w:rsidRDefault="00E9206F" w:rsidP="001415B6">
            <w:pPr>
              <w:spacing w:before="40" w:after="40"/>
              <w:jc w:val="center"/>
              <w:rPr>
                <w:color w:val="FF0000"/>
                <w:lang w:val="en-GB" w:eastAsia="zh-CN"/>
              </w:rPr>
            </w:pPr>
            <w:r w:rsidRPr="00F91CFE">
              <w:rPr>
                <w:color w:val="FF0000"/>
                <w:lang w:val="en-GB" w:eastAsia="zh-CN"/>
              </w:rPr>
              <w:t>9</w:t>
            </w:r>
          </w:p>
        </w:tc>
      </w:tr>
      <w:tr w:rsidR="00E9206F" w:rsidRPr="000E4B12" w14:paraId="427B4618" w14:textId="77777777" w:rsidTr="001415B6">
        <w:trPr>
          <w:trHeight w:val="52"/>
        </w:trPr>
        <w:tc>
          <w:tcPr>
            <w:tcW w:w="1530" w:type="dxa"/>
            <w:tcBorders>
              <w:top w:val="single" w:sz="4" w:space="0" w:color="auto"/>
            </w:tcBorders>
            <w:vAlign w:val="center"/>
          </w:tcPr>
          <w:p w14:paraId="09A80106" w14:textId="77777777" w:rsidR="00E9206F" w:rsidRPr="000E4B12" w:rsidRDefault="00E9206F" w:rsidP="001415B6">
            <w:pPr>
              <w:spacing w:before="40" w:after="40"/>
              <w:jc w:val="center"/>
              <w:rPr>
                <w:sz w:val="4"/>
                <w:szCs w:val="4"/>
                <w:lang w:eastAsia="zh-CN"/>
              </w:rPr>
            </w:pPr>
          </w:p>
        </w:tc>
        <w:tc>
          <w:tcPr>
            <w:tcW w:w="1015" w:type="dxa"/>
            <w:vAlign w:val="bottom"/>
          </w:tcPr>
          <w:p w14:paraId="0D3BEABF" w14:textId="77777777" w:rsidR="00E9206F" w:rsidRPr="000E4B12" w:rsidRDefault="00E9206F" w:rsidP="001415B6">
            <w:pPr>
              <w:spacing w:before="40" w:after="40"/>
              <w:jc w:val="center"/>
              <w:rPr>
                <w:sz w:val="4"/>
                <w:szCs w:val="4"/>
                <w:lang w:val="en-GB" w:eastAsia="zh-CN"/>
              </w:rPr>
            </w:pPr>
          </w:p>
        </w:tc>
        <w:tc>
          <w:tcPr>
            <w:tcW w:w="1016" w:type="dxa"/>
            <w:vAlign w:val="bottom"/>
          </w:tcPr>
          <w:p w14:paraId="4EA95144" w14:textId="77777777" w:rsidR="00E9206F" w:rsidRPr="000E4B12" w:rsidRDefault="00E9206F" w:rsidP="001415B6">
            <w:pPr>
              <w:spacing w:before="40" w:after="40"/>
              <w:jc w:val="center"/>
              <w:rPr>
                <w:sz w:val="4"/>
                <w:szCs w:val="4"/>
                <w:lang w:val="en-GB" w:eastAsia="zh-CN"/>
              </w:rPr>
            </w:pPr>
          </w:p>
        </w:tc>
        <w:tc>
          <w:tcPr>
            <w:tcW w:w="1016" w:type="dxa"/>
            <w:vAlign w:val="bottom"/>
          </w:tcPr>
          <w:p w14:paraId="509F7A2A" w14:textId="77777777" w:rsidR="00E9206F" w:rsidRPr="000E4B12" w:rsidRDefault="00E9206F" w:rsidP="001415B6">
            <w:pPr>
              <w:spacing w:before="40" w:after="40"/>
              <w:jc w:val="center"/>
              <w:rPr>
                <w:sz w:val="4"/>
                <w:szCs w:val="4"/>
                <w:lang w:val="en-GB" w:eastAsia="zh-CN"/>
              </w:rPr>
            </w:pPr>
          </w:p>
        </w:tc>
        <w:tc>
          <w:tcPr>
            <w:tcW w:w="1015" w:type="dxa"/>
            <w:vAlign w:val="bottom"/>
          </w:tcPr>
          <w:p w14:paraId="111E7CA5" w14:textId="77777777" w:rsidR="00E9206F" w:rsidRPr="000E4B12" w:rsidRDefault="00E9206F" w:rsidP="001415B6">
            <w:pPr>
              <w:spacing w:before="40" w:after="40"/>
              <w:jc w:val="center"/>
              <w:rPr>
                <w:sz w:val="4"/>
                <w:szCs w:val="4"/>
                <w:lang w:val="en-GB" w:eastAsia="zh-CN"/>
              </w:rPr>
            </w:pPr>
          </w:p>
        </w:tc>
        <w:tc>
          <w:tcPr>
            <w:tcW w:w="1016" w:type="dxa"/>
            <w:vAlign w:val="bottom"/>
          </w:tcPr>
          <w:p w14:paraId="59A0822F" w14:textId="77777777" w:rsidR="00E9206F" w:rsidRPr="000E4B12" w:rsidRDefault="00E9206F" w:rsidP="001415B6">
            <w:pPr>
              <w:spacing w:before="40" w:after="40"/>
              <w:jc w:val="center"/>
              <w:rPr>
                <w:sz w:val="4"/>
                <w:szCs w:val="4"/>
                <w:lang w:val="en-GB" w:eastAsia="zh-CN"/>
              </w:rPr>
            </w:pPr>
          </w:p>
        </w:tc>
        <w:tc>
          <w:tcPr>
            <w:tcW w:w="1016" w:type="dxa"/>
            <w:vAlign w:val="bottom"/>
          </w:tcPr>
          <w:p w14:paraId="7DAF2069" w14:textId="77777777" w:rsidR="00E9206F" w:rsidRPr="000E4B12" w:rsidRDefault="00E9206F" w:rsidP="001415B6">
            <w:pPr>
              <w:spacing w:before="40" w:after="40"/>
              <w:jc w:val="center"/>
              <w:rPr>
                <w:sz w:val="4"/>
                <w:szCs w:val="4"/>
                <w:lang w:val="en-GB" w:eastAsia="zh-CN"/>
              </w:rPr>
            </w:pPr>
          </w:p>
        </w:tc>
      </w:tr>
      <w:tr w:rsidR="00E9206F" w:rsidRPr="000E4B12" w14:paraId="2E0AF9C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0E3CDA91" w14:textId="77777777" w:rsidR="00E9206F" w:rsidRPr="000E4B12" w:rsidRDefault="00E9206F" w:rsidP="001415B6">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4F99A9F7" w14:textId="77777777" w:rsidR="00E9206F" w:rsidRPr="000E4B12" w:rsidRDefault="00E9206F" w:rsidP="001415B6">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51A58E6"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ED1462B"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D7DDEEC"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0DDF4F4"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D70B4B"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761DFA0C" w14:textId="0DE43C18" w:rsidR="00E9206F" w:rsidRPr="000E4B12" w:rsidRDefault="00415413" w:rsidP="001415B6">
            <w:pPr>
              <w:spacing w:before="40" w:after="40"/>
              <w:jc w:val="center"/>
              <w:rPr>
                <w:lang w:val="de-DE" w:eastAsia="zh-CN"/>
              </w:rPr>
            </w:pPr>
            <m:oMathPara>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770E909F" w14:textId="77777777" w:rsidR="00E9206F" w:rsidRPr="000E4B12" w:rsidRDefault="00E9206F" w:rsidP="001415B6">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4CF241E" w14:textId="77777777" w:rsidR="00E9206F" w:rsidRPr="000E4B12" w:rsidRDefault="00E9206F" w:rsidP="001415B6">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19A94C39" w14:textId="77777777" w:rsidR="00E9206F" w:rsidRPr="000E4B12" w:rsidRDefault="00E9206F" w:rsidP="001415B6">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0EDDD876" w14:textId="77777777" w:rsidR="00E9206F" w:rsidRPr="00F91CFE" w:rsidRDefault="00E9206F" w:rsidP="001415B6">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6FC5F1B8" w14:textId="77777777" w:rsidR="00E9206F" w:rsidRPr="00F91CFE" w:rsidRDefault="00E9206F" w:rsidP="001415B6">
            <w:pPr>
              <w:spacing w:before="40" w:after="40"/>
              <w:jc w:val="center"/>
              <w:rPr>
                <w:color w:val="FF0000"/>
                <w:lang w:val="en-GB" w:eastAsia="zh-CN"/>
              </w:rPr>
            </w:pPr>
          </w:p>
        </w:tc>
      </w:tr>
      <w:tr w:rsidR="00E9206F" w:rsidRPr="000E4B12" w14:paraId="61ACE726"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2FD90201" w14:textId="77777777" w:rsidR="00E9206F" w:rsidRPr="000E4B12" w:rsidRDefault="00E9206F" w:rsidP="001415B6">
            <w:pPr>
              <w:spacing w:before="40" w:after="40"/>
              <w:jc w:val="center"/>
              <w:rPr>
                <w:i/>
                <w:color w:val="000000"/>
                <w:lang w:val="en-GB" w:eastAsia="zh-CN"/>
              </w:rPr>
            </w:pPr>
            <w:r>
              <w:rPr>
                <w:lang w:eastAsia="zh-CN"/>
              </w:rPr>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332EBE53" w14:textId="77777777" w:rsidR="00E9206F" w:rsidRPr="000E4B12" w:rsidRDefault="00E9206F" w:rsidP="001415B6">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23484774" w14:textId="77777777" w:rsidR="00E9206F" w:rsidRPr="000E4B12" w:rsidRDefault="00E9206F" w:rsidP="001415B6">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26E9E3B1" w14:textId="77777777" w:rsidR="00E9206F" w:rsidRPr="000E4B12" w:rsidRDefault="00E9206F" w:rsidP="001415B6">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5D0B9C4" w14:textId="77777777" w:rsidR="00E9206F" w:rsidRPr="00F91CFE" w:rsidRDefault="00E9206F" w:rsidP="001415B6">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3738472" w14:textId="77777777" w:rsidR="00E9206F" w:rsidRPr="00F91CFE" w:rsidRDefault="00E9206F" w:rsidP="001415B6">
            <w:pPr>
              <w:spacing w:before="40" w:after="40"/>
              <w:jc w:val="center"/>
              <w:rPr>
                <w:color w:val="FF0000"/>
                <w:lang w:val="en-GB" w:eastAsia="zh-CN"/>
              </w:rPr>
            </w:pPr>
            <w:r w:rsidRPr="00F91CFE">
              <w:rPr>
                <w:color w:val="FF0000"/>
                <w:lang w:val="en-GB" w:eastAsia="zh-CN"/>
              </w:rPr>
              <w:t>16</w:t>
            </w:r>
          </w:p>
        </w:tc>
      </w:tr>
    </w:tbl>
    <w:p w14:paraId="4C9354DA" w14:textId="77777777" w:rsidR="007C10DC" w:rsidRDefault="007C10DC" w:rsidP="00591A94">
      <w:pPr>
        <w:pStyle w:val="BodyText"/>
      </w:pPr>
    </w:p>
    <w:p w14:paraId="509D740A" w14:textId="47603F21" w:rsidR="00E20643" w:rsidRDefault="00E20643" w:rsidP="00E20643">
      <w:pPr>
        <w:pStyle w:val="BodyText"/>
      </w:pPr>
      <w:r>
        <w:t xml:space="preserve">In </w:t>
      </w:r>
      <w:r w:rsidR="005727DC">
        <w:t xml:space="preserve">the following, </w:t>
      </w:r>
      <w:r>
        <w:t>we discuss two possible solutions to define bundled UE PDCCH processing capabilities when PDCCH monitoring per multiple slots is deployed.</w:t>
      </w:r>
    </w:p>
    <w:p w14:paraId="3C0C806B" w14:textId="02348157" w:rsidR="00290688" w:rsidRPr="000E4B12" w:rsidRDefault="00290688" w:rsidP="00290688">
      <w:pPr>
        <w:pStyle w:val="BodyText"/>
      </w:pPr>
      <w:r>
        <w:t xml:space="preserve">The potential reduction of </w:t>
      </w:r>
      <w:r w:rsidRPr="000E4B12">
        <w:t xml:space="preserve">UE PDCCH processing capabilities </w:t>
      </w:r>
      <w:r w:rsidRPr="004F69A1">
        <w:rPr>
          <w:u w:val="single"/>
        </w:rPr>
        <w:t>per slot</w:t>
      </w:r>
      <w:r>
        <w:t xml:space="preserve"> shown previously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X</m:t>
        </m:r>
      </m:oMath>
      <w:r>
        <w:t xml:space="preserve"> slots. Therefore, it will be beneficial for NR operation in 52.6 – 71 GHz to scale </w:t>
      </w:r>
      <w:r w:rsidRPr="000E4B12">
        <w:t>UE PDCCH processing capabilities</w:t>
      </w:r>
      <w:r>
        <w:t xml:space="preserve"> </w:t>
      </w:r>
      <w:r w:rsidRPr="004F69A1">
        <w:t xml:space="preserve">per </w:t>
      </w:r>
      <m:oMath>
        <m:r>
          <w:rPr>
            <w:rFonts w:ascii="Cambria Math" w:hAnsi="Cambria Math"/>
          </w:rPr>
          <m:t>X</m:t>
        </m:r>
      </m:oMath>
      <w:r>
        <w:rPr>
          <w:rFonts w:eastAsiaTheme="minorEastAsia"/>
        </w:rPr>
        <w:t>-slots</w:t>
      </w:r>
      <w:r w:rsidRPr="00D7654C">
        <w:t xml:space="preserve"> </w:t>
      </w:r>
      <w:r>
        <w:t xml:space="preserve">with the </w:t>
      </w:r>
      <w:r w:rsidR="002D3FCF">
        <w:t>window</w:t>
      </w:r>
      <w:r>
        <w:t xml:space="preserve"> size </w:t>
      </w:r>
      <m:oMath>
        <m:r>
          <w:rPr>
            <w:rFonts w:ascii="Cambria Math" w:hAnsi="Cambria Math"/>
          </w:rPr>
          <m:t>X</m:t>
        </m:r>
      </m:oMath>
      <w:r>
        <w:t>:</w:t>
      </w:r>
    </w:p>
    <w:p w14:paraId="46A761E3" w14:textId="0A2E32AA" w:rsidR="00290688" w:rsidRPr="006249E3" w:rsidRDefault="00415413" w:rsidP="00290688">
      <w:pPr>
        <w:pStyle w:val="BodyText"/>
      </w:pPr>
      <m:oMathPara>
        <m:oMathParaPr>
          <m:jc m:val="centerGroup"/>
        </m:oMathParaP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max,X</m:t>
              </m:r>
              <m:r>
                <m:rPr>
                  <m:nor/>
                </m:rPr>
                <w:rPr>
                  <w:rFonts w:ascii="Cambria Math" w:hAnsi="Cambria Math"/>
                </w:rPr>
                <m:t>-</m:t>
              </m:r>
              <m:r>
                <m:rPr>
                  <m:sty m:val="p"/>
                </m:rPr>
                <w:rPr>
                  <w:rFonts w:ascii="Cambria Math" w:hAnsi="Cambria Math"/>
                </w:rPr>
                <m:t>slot,μ</m:t>
              </m:r>
            </m:sup>
          </m:sSubSup>
          <m:r>
            <w:rPr>
              <w:rFonts w:ascii="Cambria Math" w:hAnsi="Cambria Math"/>
            </w:rPr>
            <m:t>≅X×</m:t>
          </m:r>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m:oMathPara>
    </w:p>
    <w:p w14:paraId="1E631337" w14:textId="4E3757C9" w:rsidR="00290688" w:rsidRPr="006249E3" w:rsidRDefault="00415413" w:rsidP="00290688">
      <w:pPr>
        <w:pStyle w:val="BodyText"/>
        <w:rPr>
          <w:rFonts w:eastAsiaTheme="minorEastAsia"/>
        </w:rPr>
      </w:pPr>
      <m:oMathPara>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max,X</m:t>
              </m:r>
              <m:r>
                <m:rPr>
                  <m:nor/>
                </m:rPr>
                <w:rPr>
                  <w:rFonts w:ascii="Cambria Math" w:hAnsi="Cambria Math"/>
                </w:rPr>
                <m:t>-</m:t>
              </m:r>
              <m:r>
                <m:rPr>
                  <m:sty m:val="p"/>
                </m:rPr>
                <w:rPr>
                  <w:rFonts w:ascii="Cambria Math" w:hAnsi="Cambria Math"/>
                </w:rPr>
                <m:t>slot,μ</m:t>
              </m:r>
            </m:sup>
          </m:sSubSup>
          <m:r>
            <m:rPr>
              <m:sty m:val="p"/>
            </m:rPr>
            <w:rPr>
              <w:rFonts w:ascii="Cambria Math" w:hAnsi="Cambria Math"/>
            </w:rPr>
            <m:t>≅</m:t>
          </m:r>
          <m:r>
            <w:rPr>
              <w:rFonts w:ascii="Cambria Math" w:hAnsi="Cambria Math"/>
            </w:rPr>
            <m:t>X</m:t>
          </m:r>
          <m:r>
            <m:rPr>
              <m:sty m:val="p"/>
            </m:rPr>
            <w:rPr>
              <w:rFonts w:ascii="Cambria Math" w:hAnsi="Cambria Math"/>
            </w:rPr>
            <m:t>×</m:t>
          </m:r>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m:oMathPara>
    </w:p>
    <w:p w14:paraId="2CCB6DE7" w14:textId="10954061" w:rsidR="00E20643" w:rsidRDefault="00E20643" w:rsidP="00E20643">
      <w:pPr>
        <w:pStyle w:val="BodyText"/>
      </w:pPr>
      <w:r>
        <w:t xml:space="preserve">With this first capability scaling solution, it is in principle possible to support any </w:t>
      </w:r>
      <w:r w:rsidR="002D3FCF">
        <w:t>window</w:t>
      </w:r>
      <w:r>
        <w:t xml:space="preserve"> size. However, it may be difficult or impractical </w:t>
      </w:r>
      <w:r w:rsidRPr="00D079BD">
        <w:t>for UE implementation to optimize the hardware and software timelines to support</w:t>
      </w:r>
      <w:r>
        <w:t xml:space="preserve"> various required UE processing capabilities associated with arbitrary flexible </w:t>
      </w:r>
      <w:r w:rsidR="002D3FCF">
        <w:t>window</w:t>
      </w:r>
      <w:r>
        <w:t xml:space="preserve"> sizes. It will be beneficial for RAN1 to narrow down the </w:t>
      </w:r>
      <w:r w:rsidR="002D3FCF">
        <w:t>window</w:t>
      </w:r>
      <w:r>
        <w:t xml:space="preserve"> size values to those beneficial to system operations such that the specs and implementation are not over-burdened.</w:t>
      </w:r>
    </w:p>
    <w:p w14:paraId="0D80BCC9" w14:textId="3D52B5BE" w:rsidR="00294F9D" w:rsidRDefault="00294F9D" w:rsidP="00294F9D">
      <w:pPr>
        <w:pStyle w:val="BodyText"/>
      </w:pPr>
      <w:r>
        <w:t xml:space="preserve">Toward narrowing down the supported PDCCH monitoring </w:t>
      </w:r>
      <w:r w:rsidR="002D3FCF">
        <w:t>window</w:t>
      </w:r>
      <w:r>
        <w:t xml:space="preserve"> values, a second possible solution is to maintain the same </w:t>
      </w:r>
      <w:r w:rsidRPr="00801782">
        <w:t>scheduling framework</w:t>
      </w:r>
      <w:r>
        <w:t xml:space="preserve"> and capacity as a 120 kHz SCS system for larger SCS with PDCCH monitoring per multiple slots. For instance, PDCCH monitoring every </w:t>
      </w:r>
      <m:oMath>
        <m:r>
          <w:rPr>
            <w:rFonts w:ascii="Cambria Math" w:hAnsi="Cambria Math"/>
          </w:rPr>
          <m:t>X=4</m:t>
        </m:r>
      </m:oMath>
      <w:r>
        <w:rPr>
          <w:rFonts w:eastAsiaTheme="minorEastAsia"/>
        </w:rPr>
        <w:t xml:space="preserve"> slots can be deployed for 480 kHz SCS. The UE</w:t>
      </w:r>
      <w:r w:rsidRPr="000E4B12">
        <w:t xml:space="preserve"> PDCCH processing capabilities</w:t>
      </w:r>
      <w:r>
        <w:t xml:space="preserve"> per 4-slot monitoring </w:t>
      </w:r>
      <w:r w:rsidR="002D3FCF">
        <w:t>window</w:t>
      </w:r>
      <w:r>
        <w:t xml:space="preserve"> can then be defined as</w:t>
      </w:r>
    </w:p>
    <w:p w14:paraId="1ED7240B" w14:textId="17123FC8" w:rsidR="00294F9D" w:rsidRPr="00CF2A43" w:rsidRDefault="00415413" w:rsidP="00294F9D">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max,4</m:t>
              </m:r>
              <m:r>
                <m:rPr>
                  <m:nor/>
                </m:rPr>
                <w:rPr>
                  <w:rFonts w:ascii="Cambria Math" w:hAnsi="Cambria Math"/>
                </w:rPr>
                <m:t>-</m:t>
              </m:r>
              <m:r>
                <m:rPr>
                  <m:sty m:val="p"/>
                </m:rPr>
                <w:rPr>
                  <w:rFonts w:ascii="Cambria Math" w:hAnsi="Cambria Math"/>
                </w:rPr>
                <m:t>slot,5</m:t>
              </m:r>
            </m:sup>
          </m:sSubSup>
          <m:r>
            <w:rPr>
              <w:rFonts w:ascii="Cambria Math" w:hAnsi="Cambria Math" w:cs="Times New Roman"/>
            </w:rPr>
            <m:t>=</m:t>
          </m:r>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max,slot,3</m:t>
              </m:r>
            </m:sup>
          </m:sSubSup>
        </m:oMath>
      </m:oMathPara>
    </w:p>
    <w:p w14:paraId="2FC128B6" w14:textId="6B844C22" w:rsidR="00CF2A43" w:rsidRPr="006249E3" w:rsidRDefault="00415413" w:rsidP="00CF2A43">
      <w:pPr>
        <w:pStyle w:val="BodyText"/>
      </w:pPr>
      <m:oMathPara>
        <m:oMathParaPr>
          <m:jc m:val="centerGroup"/>
        </m:oMathParaP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max,4</m:t>
              </m:r>
              <m:r>
                <m:rPr>
                  <m:nor/>
                </m:rPr>
                <w:rPr>
                  <w:rFonts w:ascii="Cambria Math" w:hAnsi="Cambria Math"/>
                </w:rPr>
                <m:t>-</m:t>
              </m:r>
              <m:r>
                <m:rPr>
                  <m:sty m:val="p"/>
                </m:rPr>
                <w:rPr>
                  <w:rFonts w:ascii="Cambria Math" w:hAnsi="Cambria Math"/>
                </w:rPr>
                <m:t>slot,5</m:t>
              </m:r>
            </m:sup>
          </m:sSubSup>
          <m:r>
            <w:rPr>
              <w:rFonts w:ascii="Cambria Math" w:hAnsi="Cambria Math" w:cs="Times New Roman"/>
            </w:rPr>
            <m:t>=</m:t>
          </m:r>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max,slot,3</m:t>
              </m:r>
            </m:sup>
          </m:sSubSup>
        </m:oMath>
      </m:oMathPara>
    </w:p>
    <w:p w14:paraId="7A5ADD7F" w14:textId="4D897235" w:rsidR="00294F9D" w:rsidRDefault="00294F9D" w:rsidP="00294F9D">
      <w:pPr>
        <w:pStyle w:val="BodyText"/>
      </w:pPr>
      <w:r>
        <w:t xml:space="preserve">Similarly, the </w:t>
      </w:r>
      <w:r>
        <w:rPr>
          <w:rFonts w:eastAsiaTheme="minorEastAsia"/>
        </w:rPr>
        <w:t>UE</w:t>
      </w:r>
      <w:r w:rsidRPr="000E4B12">
        <w:t xml:space="preserve"> PDCCH processing capabilities</w:t>
      </w:r>
      <w:r>
        <w:t xml:space="preserve"> per 8-slot monitoring </w:t>
      </w:r>
      <w:r w:rsidR="002D3FCF">
        <w:t>window</w:t>
      </w:r>
      <w:r>
        <w:t xml:space="preserve"> for 960 kHz SCS can then be defined as</w:t>
      </w:r>
    </w:p>
    <w:p w14:paraId="7DC12B3D" w14:textId="7BD764F5" w:rsidR="00D17222" w:rsidRPr="00CF2A43" w:rsidRDefault="00415413" w:rsidP="00D17222">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max,8</m:t>
              </m:r>
              <m:r>
                <m:rPr>
                  <m:nor/>
                </m:rPr>
                <w:rPr>
                  <w:rFonts w:ascii="Cambria Math" w:hAnsi="Cambria Math"/>
                </w:rPr>
                <m:t>-</m:t>
              </m:r>
              <m:r>
                <m:rPr>
                  <m:sty m:val="p"/>
                </m:rPr>
                <w:rPr>
                  <w:rFonts w:ascii="Cambria Math" w:hAnsi="Cambria Math"/>
                </w:rPr>
                <m:t>slot,6</m:t>
              </m:r>
            </m:sup>
          </m:sSubSup>
          <m:r>
            <w:rPr>
              <w:rFonts w:ascii="Cambria Math" w:hAnsi="Cambria Math" w:cs="Times New Roman"/>
            </w:rPr>
            <m:t>=</m:t>
          </m:r>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max,slot,3</m:t>
              </m:r>
            </m:sup>
          </m:sSubSup>
        </m:oMath>
      </m:oMathPara>
    </w:p>
    <w:p w14:paraId="76A4B4E6" w14:textId="102C6C1F" w:rsidR="00D17222" w:rsidRPr="006249E3" w:rsidRDefault="00415413" w:rsidP="00D17222">
      <w:pPr>
        <w:pStyle w:val="BodyText"/>
      </w:pPr>
      <m:oMathPara>
        <m:oMathParaPr>
          <m:jc m:val="centerGroup"/>
        </m:oMathParaP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max,8</m:t>
              </m:r>
              <m:r>
                <m:rPr>
                  <m:nor/>
                </m:rPr>
                <w:rPr>
                  <w:rFonts w:ascii="Cambria Math" w:hAnsi="Cambria Math"/>
                </w:rPr>
                <m:t>-</m:t>
              </m:r>
              <m:r>
                <m:rPr>
                  <m:sty m:val="p"/>
                </m:rPr>
                <w:rPr>
                  <w:rFonts w:ascii="Cambria Math" w:hAnsi="Cambria Math"/>
                </w:rPr>
                <m:t>slot,6</m:t>
              </m:r>
            </m:sup>
          </m:sSubSup>
          <m:r>
            <w:rPr>
              <w:rFonts w:ascii="Cambria Math" w:hAnsi="Cambria Math" w:cs="Times New Roman"/>
            </w:rPr>
            <m:t>=</m:t>
          </m:r>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max,slot,3</m:t>
              </m:r>
            </m:sup>
          </m:sSubSup>
        </m:oMath>
      </m:oMathPara>
    </w:p>
    <w:p w14:paraId="4BCF8B65" w14:textId="66CB8EEE" w:rsidR="00294F9D" w:rsidRDefault="00294F9D" w:rsidP="00294F9D">
      <w:pPr>
        <w:pStyle w:val="BodyText"/>
      </w:pPr>
      <w:r>
        <w:t xml:space="preserve">In other words, the UE capability for BD/CCE per </w:t>
      </w:r>
      <w:r w:rsidR="002D3FCF">
        <w:t>X</w:t>
      </w:r>
      <w:r>
        <w:t xml:space="preserve">-slot </w:t>
      </w:r>
      <w:r w:rsidR="002D3FCF">
        <w:t>window</w:t>
      </w:r>
      <w:r>
        <w:t xml:space="preserve"> for a larger SCS (480 or 960 kHz)</w:t>
      </w:r>
      <w:r w:rsidR="002D3FCF">
        <w:t xml:space="preserve"> with the same duration as a slot with 120 kHz SCS</w:t>
      </w:r>
      <w:r>
        <w:t xml:space="preserve"> is the same as the per-slot capability for 120 kHz</w:t>
      </w:r>
      <w:r w:rsidR="002D3FCF">
        <w:t xml:space="preserve"> SCS</w:t>
      </w:r>
      <w:r>
        <w:t>.</w:t>
      </w:r>
    </w:p>
    <w:p w14:paraId="6DF3FC1D" w14:textId="3A9E4C83" w:rsidR="00AD072E" w:rsidRDefault="00AD072E" w:rsidP="00016680">
      <w:pPr>
        <w:pStyle w:val="BodyText"/>
        <w:rPr>
          <w:rFonts w:eastAsiaTheme="minorEastAsia"/>
        </w:rPr>
      </w:pPr>
      <w:r>
        <w:rPr>
          <w:rFonts w:eastAsiaTheme="minorEastAsia"/>
        </w:rPr>
        <w:fldChar w:fldCharType="begin"/>
      </w:r>
      <w:r>
        <w:rPr>
          <w:rFonts w:eastAsiaTheme="minorEastAsia"/>
        </w:rPr>
        <w:instrText xml:space="preserve"> REF _Ref68084604 \h </w:instrText>
      </w:r>
      <w:r>
        <w:rPr>
          <w:rFonts w:eastAsiaTheme="minorEastAsia"/>
        </w:rPr>
      </w:r>
      <w:r>
        <w:rPr>
          <w:rFonts w:eastAsiaTheme="minorEastAsia"/>
        </w:rPr>
        <w:fldChar w:fldCharType="separate"/>
      </w:r>
      <w:r w:rsidR="00357B6D">
        <w:t xml:space="preserve">Figure </w:t>
      </w:r>
      <w:r w:rsidR="00357B6D">
        <w:rPr>
          <w:noProof/>
        </w:rPr>
        <w:t>7</w:t>
      </w:r>
      <w:r>
        <w:rPr>
          <w:rFonts w:eastAsiaTheme="minorEastAsia"/>
        </w:rPr>
        <w:fldChar w:fldCharType="end"/>
      </w:r>
      <w:r>
        <w:rPr>
          <w:rFonts w:eastAsiaTheme="minorEastAsia"/>
        </w:rPr>
        <w:t xml:space="preserve"> shows the BD and CCE budgets per B slots for Capability Scaling Solutions 1 and 2 assuming </w:t>
      </w:r>
      <w:r w:rsidR="00214A3F">
        <w:rPr>
          <w:rFonts w:eastAsiaTheme="minorEastAsia"/>
        </w:rPr>
        <w:t>X</w:t>
      </w:r>
      <w:r>
        <w:rPr>
          <w:rFonts w:eastAsiaTheme="minorEastAsia"/>
        </w:rPr>
        <w:t xml:space="preserve"> = 4 for 480 kHz and </w:t>
      </w:r>
      <w:r w:rsidR="00214A3F">
        <w:rPr>
          <w:rFonts w:eastAsiaTheme="minorEastAsia"/>
        </w:rPr>
        <w:t>X</w:t>
      </w:r>
      <w:r>
        <w:rPr>
          <w:rFonts w:eastAsiaTheme="minorEastAsia"/>
        </w:rPr>
        <w:t xml:space="preserve"> = 8 for 960 kHz. It can be further discussed what values to define within the range provided by these two solutions.</w:t>
      </w:r>
    </w:p>
    <w:p w14:paraId="5F416B8D" w14:textId="50DDEAA9" w:rsidR="00AD072E" w:rsidRDefault="00AD072E" w:rsidP="003D629D">
      <w:pPr>
        <w:pStyle w:val="BodyText"/>
        <w:spacing w:after="0"/>
        <w:jc w:val="center"/>
      </w:pPr>
      <w:bookmarkStart w:id="66" w:name="_Hlk83807501"/>
      <w:r>
        <w:rPr>
          <w:noProof/>
        </w:rPr>
        <w:lastRenderedPageBreak/>
        <w:drawing>
          <wp:inline distT="0" distB="0" distL="0" distR="0" wp14:anchorId="6C80433D" wp14:editId="75E879C4">
            <wp:extent cx="3657600" cy="2743200"/>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BC7F017" w14:textId="7D0C91B9" w:rsidR="00AD072E" w:rsidRDefault="00AD072E" w:rsidP="00CE0733">
      <w:pPr>
        <w:pStyle w:val="Caption"/>
      </w:pPr>
      <w:bookmarkStart w:id="67" w:name="_Ref68084604"/>
      <w:r>
        <w:t xml:space="preserve">Figure </w:t>
      </w:r>
      <w:r>
        <w:fldChar w:fldCharType="begin"/>
      </w:r>
      <w:r>
        <w:instrText xml:space="preserve"> SEQ Figure \* ARABIC </w:instrText>
      </w:r>
      <w:r>
        <w:fldChar w:fldCharType="separate"/>
      </w:r>
      <w:r w:rsidR="00357B6D">
        <w:rPr>
          <w:noProof/>
        </w:rPr>
        <w:t>7</w:t>
      </w:r>
      <w:r>
        <w:fldChar w:fldCharType="end"/>
      </w:r>
      <w:bookmarkEnd w:id="67"/>
      <w:r>
        <w:t>: BD and CCE budgets per slot and scaled</w:t>
      </w:r>
      <w:r w:rsidRPr="000E4B12">
        <w:rPr>
          <w:rFonts w:cs="Arial"/>
          <w:iCs/>
        </w:rPr>
        <w:t xml:space="preserve"> </w:t>
      </w:r>
      <w:r w:rsidRPr="000E4B12">
        <w:rPr>
          <w:rFonts w:cs="Arial"/>
        </w:rPr>
        <w:t xml:space="preserve">values per </w:t>
      </w:r>
      <w:r>
        <w:rPr>
          <w:rFonts w:cs="Arial"/>
        </w:rPr>
        <w:t xml:space="preserve">B-slots (B = 4 for 480 kHz and B = 8 for 960 kHz). </w:t>
      </w:r>
    </w:p>
    <w:bookmarkEnd w:id="66"/>
    <w:p w14:paraId="55C248F7" w14:textId="710E7680" w:rsidR="000A2C03" w:rsidRDefault="00E34F83" w:rsidP="00016680">
      <w:pPr>
        <w:pStyle w:val="BodyText"/>
      </w:pPr>
      <w:r>
        <w:rPr>
          <w:rFonts w:eastAsiaTheme="minorEastAsia"/>
        </w:rPr>
        <w:t xml:space="preserve">With Rel-17 work approaching closing, RAN1 </w:t>
      </w:r>
      <w:r w:rsidR="005B24C2">
        <w:rPr>
          <w:rFonts w:eastAsiaTheme="minorEastAsia"/>
        </w:rPr>
        <w:t>should strive to progress in the m</w:t>
      </w:r>
      <w:r w:rsidR="005B24C2">
        <w:t xml:space="preserve">ulti-slot PDCCH processing capabilities for 480/960 kHz SCS. Toward this end, </w:t>
      </w:r>
      <w:r w:rsidR="00D348E2">
        <w:t xml:space="preserve">we propose </w:t>
      </w:r>
      <w:r w:rsidR="00263613">
        <w:t xml:space="preserve">to adopt the second approach for Rel-17 </w:t>
      </w:r>
      <w:r w:rsidR="00263613">
        <w:rPr>
          <w:rFonts w:eastAsiaTheme="minorEastAsia"/>
        </w:rPr>
        <w:t>m</w:t>
      </w:r>
      <w:r w:rsidR="00263613">
        <w:t>ulti-slot PDCCH processing capabilities for 480/960 kHz SCS.</w:t>
      </w:r>
    </w:p>
    <w:p w14:paraId="52E4EDD5" w14:textId="77777777" w:rsidR="00B03FBE" w:rsidRDefault="00B03FBE" w:rsidP="00016680">
      <w:pPr>
        <w:pStyle w:val="BodyText"/>
      </w:pPr>
    </w:p>
    <w:p w14:paraId="4DC471BE" w14:textId="561C5DBB" w:rsidR="00F27BA4" w:rsidRPr="00F27BA4" w:rsidRDefault="00A72D5A" w:rsidP="00F27BA4">
      <w:pPr>
        <w:pStyle w:val="Proposal"/>
        <w:overflowPunct w:val="0"/>
        <w:autoSpaceDE w:val="0"/>
        <w:autoSpaceDN w:val="0"/>
        <w:adjustRightInd w:val="0"/>
        <w:spacing w:after="0" w:line="240" w:lineRule="auto"/>
        <w:textAlignment w:val="baseline"/>
        <w:rPr>
          <w:rFonts w:eastAsiaTheme="minorEastAsia"/>
        </w:rPr>
      </w:pPr>
      <w:bookmarkStart w:id="68" w:name="_Toc87014528"/>
      <w:bookmarkStart w:id="69" w:name="_Ref79163691"/>
      <w:r>
        <w:rPr>
          <w:rFonts w:eastAsiaTheme="minorEastAsia"/>
        </w:rPr>
        <w:t xml:space="preserve">RAN1 agrees to the following </w:t>
      </w:r>
      <w:r w:rsidR="00993CCD">
        <w:rPr>
          <w:rFonts w:eastAsiaTheme="minorEastAsia"/>
        </w:rPr>
        <w:t>m</w:t>
      </w:r>
      <w:r w:rsidR="00993CCD">
        <w:t xml:space="preserve">ulti-slot PDCCH processing capability </w:t>
      </w:r>
      <w:r w:rsidR="008F094A">
        <w:t xml:space="preserve">values </w:t>
      </w:r>
      <w:r w:rsidR="002D7EEA">
        <w:t xml:space="preserve">for 480/960 kHz SCS </w:t>
      </w:r>
      <w:r w:rsidR="00121D53">
        <w:t xml:space="preserve">to </w:t>
      </w:r>
      <w:r w:rsidR="00993CCD">
        <w:t xml:space="preserve">progress </w:t>
      </w:r>
      <w:r w:rsidR="008A090F">
        <w:t xml:space="preserve">the </w:t>
      </w:r>
      <w:r w:rsidR="004A7045">
        <w:t xml:space="preserve">Rel-17 </w:t>
      </w:r>
      <w:r w:rsidR="008A090F">
        <w:t xml:space="preserve">specification </w:t>
      </w:r>
      <w:r w:rsidR="00615B85">
        <w:t>effort:</w:t>
      </w:r>
      <w:bookmarkEnd w:id="68"/>
      <w:r w:rsidR="009D22E0">
        <w:t xml:space="preserve"> </w:t>
      </w:r>
    </w:p>
    <w:p w14:paraId="2878029F" w14:textId="41479368" w:rsidR="00F27BA4" w:rsidRPr="00AD268A" w:rsidRDefault="00615B85" w:rsidP="00AC216B">
      <w:pPr>
        <w:pStyle w:val="Proposal"/>
        <w:numPr>
          <w:ilvl w:val="1"/>
          <w:numId w:val="2"/>
        </w:numPr>
        <w:tabs>
          <w:tab w:val="clear" w:pos="1440"/>
          <w:tab w:val="clear" w:pos="1701"/>
        </w:tabs>
        <w:overflowPunct w:val="0"/>
        <w:autoSpaceDE w:val="0"/>
        <w:autoSpaceDN w:val="0"/>
        <w:adjustRightInd w:val="0"/>
        <w:spacing w:after="0" w:line="240" w:lineRule="auto"/>
        <w:ind w:left="2070"/>
        <w:textAlignment w:val="baseline"/>
        <w:rPr>
          <w:rFonts w:eastAsiaTheme="minorEastAsia"/>
        </w:rPr>
      </w:pPr>
      <w:bookmarkStart w:id="70" w:name="_Toc87014529"/>
      <w:r w:rsidRPr="00AD268A">
        <w:rPr>
          <w:rFonts w:eastAsiaTheme="minorEastAsia"/>
        </w:rPr>
        <w:t xml:space="preserve">480 kHz SCS with </w:t>
      </w:r>
      <w:r w:rsidR="00C46A46" w:rsidRPr="00AD268A">
        <w:rPr>
          <w:rFonts w:eastAsiaTheme="minorEastAsia"/>
        </w:rPr>
        <w:t>X</w:t>
      </w:r>
      <w:r w:rsidRPr="00AD268A">
        <w:rPr>
          <w:rFonts w:eastAsiaTheme="minorEastAsia"/>
        </w:rPr>
        <w:t xml:space="preserve">=4: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max,4</m:t>
            </m:r>
            <m:r>
              <m:rPr>
                <m:nor/>
              </m:rPr>
              <w:rPr>
                <w:rFonts w:ascii="Cambria Math" w:hAnsi="Cambria Math"/>
              </w:rPr>
              <m:t>-</m:t>
            </m:r>
            <m:r>
              <m:rPr>
                <m:sty m:val="b"/>
              </m:rPr>
              <w:rPr>
                <w:rFonts w:ascii="Cambria Math" w:hAnsi="Cambria Math"/>
              </w:rPr>
              <m:t>slot,5</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max,4</m:t>
            </m:r>
            <m:r>
              <m:rPr>
                <m:nor/>
              </m:rPr>
              <w:rPr>
                <w:rFonts w:ascii="Cambria Math" w:hAnsi="Cambria Math"/>
              </w:rPr>
              <m:t>-</m:t>
            </m:r>
            <m:r>
              <m:rPr>
                <m:sty m:val="b"/>
              </m:rPr>
              <w:rPr>
                <w:rFonts w:ascii="Cambria Math" w:hAnsi="Cambria Math"/>
              </w:rPr>
              <m:t>slot,5</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max,slot,3</m:t>
            </m:r>
          </m:sup>
        </m:sSubSup>
      </m:oMath>
      <w:r w:rsidR="00C96D5D" w:rsidRPr="00AD268A">
        <w:rPr>
          <w:rFonts w:eastAsiaTheme="minorEastAsia"/>
        </w:rPr>
        <w:t>.</w:t>
      </w:r>
      <w:bookmarkEnd w:id="70"/>
    </w:p>
    <w:p w14:paraId="0BE04CEE" w14:textId="42036F98" w:rsidR="00993CCD" w:rsidRPr="00AD268A" w:rsidRDefault="00615B85" w:rsidP="00AC216B">
      <w:pPr>
        <w:pStyle w:val="Proposal"/>
        <w:numPr>
          <w:ilvl w:val="1"/>
          <w:numId w:val="2"/>
        </w:numPr>
        <w:tabs>
          <w:tab w:val="clear" w:pos="1440"/>
          <w:tab w:val="clear" w:pos="1701"/>
        </w:tabs>
        <w:overflowPunct w:val="0"/>
        <w:autoSpaceDE w:val="0"/>
        <w:autoSpaceDN w:val="0"/>
        <w:adjustRightInd w:val="0"/>
        <w:spacing w:line="240" w:lineRule="auto"/>
        <w:ind w:left="2070"/>
        <w:textAlignment w:val="baseline"/>
        <w:rPr>
          <w:rFonts w:eastAsiaTheme="minorEastAsia"/>
        </w:rPr>
      </w:pPr>
      <w:bookmarkStart w:id="71" w:name="_Toc87014530"/>
      <w:r w:rsidRPr="00AD268A">
        <w:rPr>
          <w:rFonts w:eastAsiaTheme="minorEastAsia"/>
        </w:rPr>
        <w:t xml:space="preserve">960 kHz SCS with </w:t>
      </w:r>
      <w:r w:rsidR="00C46A46" w:rsidRPr="00AD268A">
        <w:rPr>
          <w:rFonts w:eastAsiaTheme="minorEastAsia"/>
        </w:rPr>
        <w:t>X</w:t>
      </w:r>
      <w:r w:rsidRPr="00AD268A">
        <w:rPr>
          <w:rFonts w:eastAsiaTheme="minorEastAsia"/>
        </w:rPr>
        <w:t xml:space="preserve">=8: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max,8</m:t>
            </m:r>
            <m:r>
              <m:rPr>
                <m:nor/>
              </m:rPr>
              <w:rPr>
                <w:rFonts w:ascii="Cambria Math" w:hAnsi="Cambria Math"/>
              </w:rPr>
              <m:t>-</m:t>
            </m:r>
            <m:r>
              <m:rPr>
                <m:sty m:val="b"/>
              </m:rPr>
              <w:rPr>
                <w:rFonts w:ascii="Cambria Math" w:hAnsi="Cambria Math"/>
              </w:rPr>
              <m:t>slot,6</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 xml:space="preserve"> and </w:t>
      </w:r>
      <w:bookmarkEnd w:id="69"/>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max,8</m:t>
            </m:r>
            <m:r>
              <m:rPr>
                <m:nor/>
              </m:rPr>
              <w:rPr>
                <w:rFonts w:ascii="Cambria Math" w:hAnsi="Cambria Math"/>
              </w:rPr>
              <m:t>-</m:t>
            </m:r>
            <m:r>
              <m:rPr>
                <m:sty m:val="b"/>
              </m:rPr>
              <w:rPr>
                <w:rFonts w:ascii="Cambria Math" w:hAnsi="Cambria Math"/>
              </w:rPr>
              <m:t>slot,6</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max,slot,3</m:t>
            </m:r>
          </m:sup>
        </m:sSubSup>
      </m:oMath>
      <w:r w:rsidR="00C96D5D" w:rsidRPr="00AD268A">
        <w:rPr>
          <w:rFonts w:eastAsiaTheme="minorEastAsia"/>
        </w:rPr>
        <w:t>.</w:t>
      </w:r>
      <w:bookmarkEnd w:id="71"/>
    </w:p>
    <w:p w14:paraId="72B9B320" w14:textId="35C8FE3D" w:rsidR="006A0915" w:rsidRDefault="006A0915" w:rsidP="006A0915"/>
    <w:p w14:paraId="54A67618" w14:textId="06AECEC8" w:rsidR="009B7690" w:rsidRDefault="009B7690" w:rsidP="009B7690">
      <w:pPr>
        <w:pStyle w:val="Heading2"/>
      </w:pPr>
      <w:r>
        <w:t>2.2</w:t>
      </w:r>
      <w:r>
        <w:tab/>
      </w:r>
      <w:r w:rsidRPr="0081317A">
        <w:t>Multi-slot PDCCH monitoring capability definition</w:t>
      </w:r>
      <w:r>
        <w:t xml:space="preserve"> </w:t>
      </w:r>
      <w:r w:rsidR="007F74F3">
        <w:t>(</w:t>
      </w:r>
      <w:r>
        <w:t>Option B</w:t>
      </w:r>
      <w:r w:rsidR="003671C6">
        <w:t>-FL1</w:t>
      </w:r>
      <w:r w:rsidR="007F74F3">
        <w:t xml:space="preserve"> discussed in RAN1#106b</w:t>
      </w:r>
      <w:r w:rsidR="003671C6">
        <w:t>is</w:t>
      </w:r>
      <w:r w:rsidR="007F74F3">
        <w:t>-e)</w:t>
      </w:r>
    </w:p>
    <w:p w14:paraId="7ACE3A7B" w14:textId="572CF1EE" w:rsidR="009B7690" w:rsidRDefault="008B1013" w:rsidP="006A0915">
      <w:r>
        <w:t xml:space="preserve">Another </w:t>
      </w:r>
      <w:r w:rsidR="007E7656">
        <w:t xml:space="preserve">multi-slot PDCCH monitoring capability definition was discussed extensively and </w:t>
      </w:r>
      <w:r w:rsidR="00471DFC">
        <w:t>supported by several companies during the RAN1 #106b-e discussion</w:t>
      </w:r>
      <w:r w:rsidR="00E06FE1">
        <w:t xml:space="preserve"> is </w:t>
      </w:r>
    </w:p>
    <w:p w14:paraId="0D3E2001" w14:textId="77777777" w:rsidR="001252B8" w:rsidRPr="001252B8" w:rsidRDefault="001252B8" w:rsidP="00647205">
      <w:pPr>
        <w:numPr>
          <w:ilvl w:val="0"/>
          <w:numId w:val="24"/>
        </w:numPr>
        <w:contextualSpacing/>
      </w:pPr>
      <w:r w:rsidRPr="001252B8">
        <w:t>Option B-FL1</w:t>
      </w:r>
    </w:p>
    <w:p w14:paraId="235E733F" w14:textId="77777777" w:rsidR="001252B8" w:rsidRPr="001252B8" w:rsidRDefault="001252B8" w:rsidP="00647205">
      <w:pPr>
        <w:numPr>
          <w:ilvl w:val="1"/>
          <w:numId w:val="24"/>
        </w:numPr>
        <w:contextualSpacing/>
      </w:pPr>
      <w:r w:rsidRPr="001252B8">
        <w:t>The reported capability indicates the BD/CCE budget within X slots</w:t>
      </w:r>
    </w:p>
    <w:p w14:paraId="79780A28" w14:textId="77777777" w:rsidR="001252B8" w:rsidRPr="001252B8" w:rsidRDefault="001252B8" w:rsidP="00647205">
      <w:pPr>
        <w:numPr>
          <w:ilvl w:val="1"/>
          <w:numId w:val="24"/>
        </w:numPr>
        <w:contextualSpacing/>
        <w:rPr>
          <w:lang w:val="en-GB"/>
        </w:rPr>
      </w:pPr>
      <w:r w:rsidRPr="001252B8">
        <w:rPr>
          <w:lang w:val="en-GB"/>
        </w:rPr>
        <w:t>For Group (1) SS</w:t>
      </w:r>
    </w:p>
    <w:p w14:paraId="0D2A8B4F" w14:textId="77777777" w:rsidR="001252B8" w:rsidRPr="001252B8" w:rsidRDefault="001252B8" w:rsidP="00647205">
      <w:pPr>
        <w:numPr>
          <w:ilvl w:val="2"/>
          <w:numId w:val="24"/>
        </w:numPr>
        <w:contextualSpacing/>
        <w:rPr>
          <w:lang w:val="en-GB"/>
        </w:rPr>
      </w:pPr>
      <w:r w:rsidRPr="001252B8">
        <w:rPr>
          <w:lang w:val="en-GB"/>
        </w:rPr>
        <w:t>A SS is configured to be within Y consecutive slots within a slot group of X slots</w:t>
      </w:r>
    </w:p>
    <w:p w14:paraId="342F0308" w14:textId="77777777" w:rsidR="001252B8" w:rsidRPr="001252B8" w:rsidRDefault="001252B8" w:rsidP="00647205">
      <w:pPr>
        <w:numPr>
          <w:ilvl w:val="2"/>
          <w:numId w:val="24"/>
        </w:numPr>
        <w:contextualSpacing/>
        <w:rPr>
          <w:lang w:val="en-GB"/>
        </w:rPr>
      </w:pPr>
      <w:r w:rsidRPr="001252B8">
        <w:rPr>
          <w:lang w:val="en-GB"/>
        </w:rPr>
        <w:t>The location of the Y consecutive slots can be anywhere within a slot group of X slots</w:t>
      </w:r>
    </w:p>
    <w:p w14:paraId="0A941FA1" w14:textId="77777777" w:rsidR="001252B8" w:rsidRPr="001252B8" w:rsidRDefault="001252B8" w:rsidP="00647205">
      <w:pPr>
        <w:numPr>
          <w:ilvl w:val="3"/>
          <w:numId w:val="24"/>
        </w:numPr>
        <w:contextualSpacing/>
        <w:rPr>
          <w:lang w:val="en-GB"/>
        </w:rPr>
      </w:pPr>
      <w:r w:rsidRPr="001252B8">
        <w:rPr>
          <w:lang w:val="en-GB"/>
        </w:rPr>
        <w:t>FFS: Details of RRC configuration of Group (1) SSs (periodicity, offset, duration), e.g., based on X-slot granularity, and configured time offset within a slot group of X slots</w:t>
      </w:r>
    </w:p>
    <w:p w14:paraId="6F8E0F2B" w14:textId="77777777" w:rsidR="001252B8" w:rsidRPr="001252B8" w:rsidRDefault="001252B8" w:rsidP="00647205">
      <w:pPr>
        <w:numPr>
          <w:ilvl w:val="2"/>
          <w:numId w:val="24"/>
        </w:numPr>
        <w:contextualSpacing/>
        <w:rPr>
          <w:lang w:val="en-GB"/>
        </w:rPr>
      </w:pPr>
      <w:r w:rsidRPr="001252B8">
        <w:t xml:space="preserve">The location of the Y consecutive slots within a slot </w:t>
      </w:r>
      <w:r w:rsidRPr="001252B8">
        <w:rPr>
          <w:lang w:val="en-GB"/>
        </w:rPr>
        <w:t>group of X slots</w:t>
      </w:r>
      <w:r w:rsidRPr="001252B8">
        <w:t xml:space="preserve"> is maintained across different slot groups</w:t>
      </w:r>
    </w:p>
    <w:p w14:paraId="37E8E0DA" w14:textId="77777777" w:rsidR="001252B8" w:rsidRPr="001252B8" w:rsidRDefault="001252B8" w:rsidP="00647205">
      <w:pPr>
        <w:numPr>
          <w:ilvl w:val="2"/>
          <w:numId w:val="24"/>
        </w:numPr>
        <w:contextualSpacing/>
        <w:rPr>
          <w:lang w:val="en-GB"/>
        </w:rPr>
      </w:pPr>
      <w:r w:rsidRPr="001252B8">
        <w:rPr>
          <w:lang w:val="en-GB"/>
        </w:rPr>
        <w:t>BD attempts for all Group (1) SSs are restricted to fall within the same Y consecutive slots</w:t>
      </w:r>
    </w:p>
    <w:p w14:paraId="7C06EB53" w14:textId="77777777" w:rsidR="001252B8" w:rsidRPr="001252B8" w:rsidRDefault="001252B8" w:rsidP="00647205">
      <w:pPr>
        <w:numPr>
          <w:ilvl w:val="1"/>
          <w:numId w:val="24"/>
        </w:numPr>
        <w:contextualSpacing/>
        <w:rPr>
          <w:lang w:val="en-GB"/>
        </w:rPr>
      </w:pPr>
      <w:r w:rsidRPr="001252B8">
        <w:rPr>
          <w:lang w:val="en-GB"/>
        </w:rPr>
        <w:t>For Group (2) SS</w:t>
      </w:r>
    </w:p>
    <w:p w14:paraId="307ED114" w14:textId="77777777" w:rsidR="001252B8" w:rsidRPr="001252B8" w:rsidRDefault="001252B8" w:rsidP="00647205">
      <w:pPr>
        <w:numPr>
          <w:ilvl w:val="2"/>
          <w:numId w:val="24"/>
        </w:numPr>
        <w:contextualSpacing/>
        <w:rPr>
          <w:lang w:val="en-GB"/>
        </w:rPr>
      </w:pPr>
      <w:r w:rsidRPr="001252B8">
        <w:rPr>
          <w:lang w:val="en-GB"/>
        </w:rPr>
        <w:t>A SS is configured as per Rel-15, and monitoring locations with respect to slot groups are unrestricted</w:t>
      </w:r>
    </w:p>
    <w:p w14:paraId="0C27C4E9" w14:textId="77777777" w:rsidR="001252B8" w:rsidRPr="001252B8" w:rsidRDefault="001252B8" w:rsidP="00647205">
      <w:pPr>
        <w:numPr>
          <w:ilvl w:val="2"/>
          <w:numId w:val="24"/>
        </w:numPr>
        <w:contextualSpacing/>
        <w:rPr>
          <w:lang w:val="en-GB"/>
        </w:rPr>
      </w:pPr>
      <w:r w:rsidRPr="001252B8">
        <w:rPr>
          <w:lang w:val="en-GB"/>
        </w:rPr>
        <w:t>BD attempts for Group (2) SSs occur in slots with index n0 and n0 + 1 as per Rel-15</w:t>
      </w:r>
    </w:p>
    <w:p w14:paraId="6CB9CD8C" w14:textId="77777777" w:rsidR="001252B8" w:rsidRPr="001252B8" w:rsidRDefault="001252B8" w:rsidP="00647205">
      <w:pPr>
        <w:numPr>
          <w:ilvl w:val="1"/>
          <w:numId w:val="24"/>
        </w:numPr>
        <w:contextualSpacing/>
        <w:rPr>
          <w:lang w:val="en-GB"/>
        </w:rPr>
      </w:pPr>
      <w:r w:rsidRPr="001252B8">
        <w:rPr>
          <w:lang w:val="en-GB"/>
        </w:rPr>
        <w:t>To be decided in in RAN1#106bis-e or RAN1#107-e</w:t>
      </w:r>
    </w:p>
    <w:p w14:paraId="2F0F68D3" w14:textId="77777777" w:rsidR="001252B8" w:rsidRPr="001252B8" w:rsidRDefault="001252B8" w:rsidP="00647205">
      <w:pPr>
        <w:numPr>
          <w:ilvl w:val="2"/>
          <w:numId w:val="24"/>
        </w:numPr>
        <w:contextualSpacing/>
        <w:rPr>
          <w:lang w:val="en-GB"/>
        </w:rPr>
      </w:pPr>
      <w:r w:rsidRPr="001252B8">
        <w:rPr>
          <w:lang w:val="en-GB"/>
        </w:rPr>
        <w:t>Supported values of Y</w:t>
      </w:r>
    </w:p>
    <w:p w14:paraId="7D352EF4" w14:textId="77777777" w:rsidR="001252B8" w:rsidRPr="001252B8" w:rsidRDefault="001252B8" w:rsidP="00647205">
      <w:pPr>
        <w:numPr>
          <w:ilvl w:val="3"/>
          <w:numId w:val="24"/>
        </w:numPr>
        <w:contextualSpacing/>
        <w:rPr>
          <w:lang w:val="en-GB"/>
        </w:rPr>
      </w:pPr>
      <w:r w:rsidRPr="001252B8">
        <w:rPr>
          <w:lang w:val="en-GB"/>
        </w:rPr>
        <w:lastRenderedPageBreak/>
        <w:t xml:space="preserve">Option 1: Y=1 slot and optionally as well Y=X/2 </w:t>
      </w:r>
      <w:r w:rsidRPr="001252B8">
        <w:t xml:space="preserve">consecutive </w:t>
      </w:r>
      <w:r w:rsidRPr="001252B8">
        <w:rPr>
          <w:lang w:val="en-GB"/>
        </w:rPr>
        <w:t>slots</w:t>
      </w:r>
    </w:p>
    <w:p w14:paraId="7C5751B4" w14:textId="77777777" w:rsidR="001252B8" w:rsidRPr="001252B8" w:rsidRDefault="001252B8" w:rsidP="00647205">
      <w:pPr>
        <w:numPr>
          <w:ilvl w:val="3"/>
          <w:numId w:val="24"/>
        </w:numPr>
        <w:contextualSpacing/>
        <w:rPr>
          <w:lang w:val="en-GB"/>
        </w:rPr>
      </w:pPr>
      <w:r w:rsidRPr="001252B8">
        <w:rPr>
          <w:lang w:val="en-GB"/>
        </w:rPr>
        <w:t xml:space="preserve">Option 2: both Y=1 slot and Y=X/2 </w:t>
      </w:r>
      <w:r w:rsidRPr="001252B8">
        <w:t xml:space="preserve">consecutive </w:t>
      </w:r>
      <w:r w:rsidRPr="001252B8">
        <w:rPr>
          <w:lang w:val="en-GB"/>
        </w:rPr>
        <w:t>slots</w:t>
      </w:r>
    </w:p>
    <w:p w14:paraId="3CE66B64" w14:textId="77777777" w:rsidR="001252B8" w:rsidRPr="001252B8" w:rsidRDefault="001252B8" w:rsidP="00647205">
      <w:pPr>
        <w:numPr>
          <w:ilvl w:val="3"/>
          <w:numId w:val="24"/>
        </w:numPr>
        <w:contextualSpacing/>
        <w:rPr>
          <w:lang w:val="en-GB"/>
        </w:rPr>
      </w:pPr>
      <w:r w:rsidRPr="001252B8">
        <w:rPr>
          <w:lang w:val="en-GB"/>
        </w:rPr>
        <w:t xml:space="preserve">Option 3: both Y=1 slot and Y=X/2 </w:t>
      </w:r>
      <w:r w:rsidRPr="001252B8">
        <w:t xml:space="preserve">consecutive </w:t>
      </w:r>
      <w:r w:rsidRPr="001252B8">
        <w:rPr>
          <w:lang w:val="en-GB"/>
        </w:rPr>
        <w:t xml:space="preserve">slots are supported, FFS a default Y or which Y is mandatory/optional </w:t>
      </w:r>
    </w:p>
    <w:p w14:paraId="6EB29EB0" w14:textId="77777777" w:rsidR="001252B8" w:rsidRPr="001252B8" w:rsidRDefault="001252B8" w:rsidP="00647205">
      <w:pPr>
        <w:numPr>
          <w:ilvl w:val="2"/>
          <w:numId w:val="24"/>
        </w:numPr>
        <w:rPr>
          <w:lang w:val="en-GB"/>
        </w:rPr>
      </w:pPr>
      <w:r w:rsidRPr="001252B8">
        <w:rPr>
          <w:lang w:val="en-GB"/>
        </w:rPr>
        <w:t>W</w:t>
      </w:r>
      <w:proofErr w:type="spellStart"/>
      <w:r w:rsidRPr="001252B8">
        <w:t>hich</w:t>
      </w:r>
      <w:proofErr w:type="spellEnd"/>
      <w:r w:rsidRPr="001252B8">
        <w:t xml:space="preserve"> OFDM symbols can be configured for monitoring within the </w:t>
      </w:r>
      <w:r w:rsidRPr="001252B8">
        <w:rPr>
          <w:lang w:val="en-GB"/>
        </w:rPr>
        <w:t>Y</w:t>
      </w:r>
      <w:r w:rsidRPr="001252B8">
        <w:rPr>
          <w:vertAlign w:val="subscript"/>
          <w:lang w:val="en-GB"/>
        </w:rPr>
        <w:t>Group1</w:t>
      </w:r>
      <w:r w:rsidRPr="001252B8">
        <w:rPr>
          <w:lang w:val="en-GB"/>
        </w:rPr>
        <w:t>/Y</w:t>
      </w:r>
      <w:r w:rsidRPr="001252B8">
        <w:rPr>
          <w:vertAlign w:val="subscript"/>
          <w:lang w:val="en-GB"/>
        </w:rPr>
        <w:t>Group2</w:t>
      </w:r>
      <w:r w:rsidRPr="001252B8">
        <w:rPr>
          <w:lang w:val="en-GB"/>
        </w:rPr>
        <w:t xml:space="preserve"> </w:t>
      </w:r>
      <w:r w:rsidRPr="001252B8">
        <w:t xml:space="preserve">slot(s) (i.e., SS parameter </w:t>
      </w:r>
      <w:proofErr w:type="spellStart"/>
      <w:r w:rsidRPr="001252B8">
        <w:rPr>
          <w:i/>
          <w:iCs/>
        </w:rPr>
        <w:t>monitoringSymbolsWithinSlot</w:t>
      </w:r>
      <w:proofErr w:type="spellEnd"/>
      <w:r w:rsidRPr="001252B8">
        <w:t>)</w:t>
      </w:r>
    </w:p>
    <w:p w14:paraId="4097AB6A" w14:textId="157EE95A" w:rsidR="00157177" w:rsidRDefault="00205EE8" w:rsidP="00157177">
      <w:r>
        <w:t xml:space="preserve">This </w:t>
      </w:r>
      <w:r w:rsidR="00BB3EEA">
        <w:t xml:space="preserve">multi-slot PDCCH monitoring capability definition is a direct extension of the Rel-15 </w:t>
      </w:r>
      <w:r w:rsidR="00157177">
        <w:t xml:space="preserve">mandatory PDCCH monitoring capability for UEs (FG 3-1) </w:t>
      </w:r>
      <w:r w:rsidR="0070293D">
        <w:fldChar w:fldCharType="begin"/>
      </w:r>
      <w:r w:rsidR="0070293D">
        <w:instrText xml:space="preserve"> REF _Ref87001105 \r \h </w:instrText>
      </w:r>
      <w:r w:rsidR="0070293D">
        <w:fldChar w:fldCharType="separate"/>
      </w:r>
      <w:r w:rsidR="00357B6D">
        <w:t>[4]</w:t>
      </w:r>
      <w:r w:rsidR="0070293D">
        <w:fldChar w:fldCharType="end"/>
      </w:r>
      <w:r w:rsidR="00157177">
        <w:t>, a clear distinction is made between SS with RRC configuration and those without:</w:t>
      </w:r>
    </w:p>
    <w:p w14:paraId="1597D402" w14:textId="1E6F89AE" w:rsidR="00157177" w:rsidRDefault="00157177" w:rsidP="00647205">
      <w:pPr>
        <w:numPr>
          <w:ilvl w:val="0"/>
          <w:numId w:val="24"/>
        </w:numPr>
        <w:contextualSpacing/>
      </w:pPr>
      <w:r>
        <w:t>For type 1 CSS with dedicated RRC configuration, type 3 CSS, and UE-SS, the monitoring occasion is within the first 3 OFDM symbols of a slot.</w:t>
      </w:r>
    </w:p>
    <w:p w14:paraId="2365F2A4" w14:textId="3801AC5B" w:rsidR="0012261D" w:rsidRDefault="00157177" w:rsidP="00647205">
      <w:pPr>
        <w:numPr>
          <w:ilvl w:val="0"/>
          <w:numId w:val="24"/>
        </w:numPr>
      </w:pPr>
      <w:r>
        <w:t>For type 1 CSS without dedicated RRC configuration and for type 0, 0A, and 2 CSS, the monitoring occasion can be any OFDM symbol(s) of a slot, with the monitoring occasions for any of Type 1- CSS without dedicated RRC configuration, Types 0, 0A, and 2 CSS configurations within any single span of three consecutive OFDM symbols within a slot.</w:t>
      </w:r>
    </w:p>
    <w:p w14:paraId="2E10E9D5" w14:textId="19FFDA55" w:rsidR="003179A4" w:rsidRDefault="000E6150" w:rsidP="006A0915">
      <w:r w:rsidRPr="000E6150">
        <w:t xml:space="preserve">On a Rel-15 </w:t>
      </w:r>
      <w:proofErr w:type="spellStart"/>
      <w:r w:rsidRPr="000E6150">
        <w:t>PCell</w:t>
      </w:r>
      <w:proofErr w:type="spellEnd"/>
      <w:r w:rsidRPr="000E6150">
        <w:t>/</w:t>
      </w:r>
      <w:proofErr w:type="spellStart"/>
      <w:r w:rsidRPr="000E6150">
        <w:t>PSCell</w:t>
      </w:r>
      <w:proofErr w:type="spellEnd"/>
      <w:r w:rsidRPr="000E6150">
        <w:t xml:space="preserve">, the BD/CCE budget for a slot is </w:t>
      </w:r>
      <w:r w:rsidR="00722BC1">
        <w:t xml:space="preserve">first </w:t>
      </w:r>
      <w:r>
        <w:t>allocated</w:t>
      </w:r>
      <w:r w:rsidRPr="000E6150">
        <w:t xml:space="preserve"> for monitoring CSS located within the slot, with the remaining budget utilized for monitoring USS according to ascending USS index. That is, </w:t>
      </w:r>
      <w:proofErr w:type="gramStart"/>
      <w:r w:rsidRPr="000E6150">
        <w:t>in order to</w:t>
      </w:r>
      <w:proofErr w:type="gramEnd"/>
      <w:r w:rsidRPr="000E6150">
        <w:t xml:space="preserve"> receive CSS within a slot, some or all USS of the same slot may be dropped. However, the presence of a CSS within a slot, regardless of where such a CSS locates within the slot (particularly for type 1 CSS without dedicated RRC configuration and for type 0, 0A, and 2 CSS), has no impact on the BD/CCE budget for the next slot.</w:t>
      </w:r>
    </w:p>
    <w:p w14:paraId="0E13DDB6" w14:textId="70E19567" w:rsidR="007561BF" w:rsidRDefault="00B449E7" w:rsidP="006A0915">
      <w:pPr>
        <w:rPr>
          <w:lang w:eastAsia="ja-JP"/>
        </w:rPr>
      </w:pPr>
      <w:r w:rsidRPr="00B449E7">
        <w:t>Several companies have proposed that multi-slot PDCCH monitoring should be the “default” capability and can be assumed even during the idle/inactive mode operation and initial access procedure operations with 480/960 kHz SCS.</w:t>
      </w:r>
      <w:r>
        <w:t xml:space="preserve"> </w:t>
      </w:r>
      <w:r w:rsidR="00867587">
        <w:t xml:space="preserve">As we have discussed above in Section 2.1.5, </w:t>
      </w:r>
      <w:r w:rsidR="00C7381D">
        <w:rPr>
          <w:lang w:val="en-GB" w:eastAsia="ja-JP"/>
        </w:rPr>
        <w:t xml:space="preserve">existing </w:t>
      </w:r>
      <w:r w:rsidR="00C7381D" w:rsidRPr="004E4CEA">
        <w:rPr>
          <w:lang w:val="en-GB" w:eastAsia="ja-JP"/>
        </w:rPr>
        <w:t xml:space="preserve">proposed changes </w:t>
      </w:r>
      <w:r w:rsidR="00C7381D">
        <w:rPr>
          <w:lang w:val="en-GB" w:eastAsia="ja-JP"/>
        </w:rPr>
        <w:t xml:space="preserve">to Group (2) </w:t>
      </w:r>
      <w:r w:rsidR="00C7381D">
        <w:rPr>
          <w:rFonts w:cs="Arial"/>
          <w:szCs w:val="20"/>
          <w:lang w:val="en-GB" w:eastAsia="ja-JP"/>
        </w:rPr>
        <w:t xml:space="preserve">search space and initial access protocols and procedures </w:t>
      </w:r>
      <w:r w:rsidR="00C7381D" w:rsidRPr="004E4CEA">
        <w:rPr>
          <w:lang w:val="en-GB" w:eastAsia="ja-JP"/>
        </w:rPr>
        <w:t xml:space="preserve">deviate substantially from the system design principles embodied in Rel-15 NR. In </w:t>
      </w:r>
      <w:r w:rsidR="00C7381D">
        <w:rPr>
          <w:lang w:val="en-GB" w:eastAsia="ja-JP"/>
        </w:rPr>
        <w:t>some extreme cases</w:t>
      </w:r>
      <w:r w:rsidR="00C7381D" w:rsidRPr="004E4CEA">
        <w:rPr>
          <w:lang w:val="en-GB" w:eastAsia="ja-JP"/>
        </w:rPr>
        <w:t>, the change</w:t>
      </w:r>
      <w:r w:rsidR="00C7381D">
        <w:rPr>
          <w:lang w:val="en-GB" w:eastAsia="ja-JP"/>
        </w:rPr>
        <w:t>s introduce large negative</w:t>
      </w:r>
      <w:r w:rsidR="00C7381D" w:rsidRPr="004E4CEA">
        <w:rPr>
          <w:lang w:val="en-GB" w:eastAsia="ja-JP"/>
        </w:rPr>
        <w:t xml:space="preserve"> impacts to </w:t>
      </w:r>
      <w:r w:rsidR="00C7381D" w:rsidRPr="00AB0A29">
        <w:rPr>
          <w:lang w:eastAsia="ja-JP"/>
        </w:rPr>
        <w:t>the system capacity and network energy efficiency</w:t>
      </w:r>
      <w:r w:rsidR="00C7381D">
        <w:rPr>
          <w:lang w:eastAsia="ja-JP"/>
        </w:rPr>
        <w:t xml:space="preserve">. </w:t>
      </w:r>
      <w:r w:rsidR="006905EF">
        <w:rPr>
          <w:lang w:val="en-GB" w:eastAsia="ja-JP"/>
        </w:rPr>
        <w:t>S</w:t>
      </w:r>
      <w:r w:rsidR="006905EF" w:rsidRPr="004E4CEA">
        <w:rPr>
          <w:lang w:val="en-GB" w:eastAsia="ja-JP"/>
        </w:rPr>
        <w:t>uch significant and wide-ranging changes to the fundamental NR design for initial access is not justified.</w:t>
      </w:r>
    </w:p>
    <w:p w14:paraId="1B694031" w14:textId="27ED78E4" w:rsidR="00FC1E6E" w:rsidRDefault="003D569A">
      <w:pPr>
        <w:rPr>
          <w:lang w:eastAsia="ja-JP"/>
        </w:rPr>
      </w:pPr>
      <w:r w:rsidRPr="003D569A">
        <w:rPr>
          <w:lang w:eastAsia="ja-JP"/>
        </w:rPr>
        <w:t>For Rel-17 operation in the FR2-2 range, maintaining the same initial access procedures and IDLE mode operations is beneficial to reducing implementation complexity and shortening time to market. Hence, the same NR system design principle that the Rel-15 UEs are required to support more flexible monitoring occasions in initial access and in the IDLE mode should be followed for a more streamlined Rel-17 specs.</w:t>
      </w:r>
      <w:r>
        <w:rPr>
          <w:lang w:eastAsia="ja-JP"/>
        </w:rPr>
        <w:t xml:space="preserve"> </w:t>
      </w:r>
      <w:r w:rsidR="0020403C">
        <w:rPr>
          <w:lang w:eastAsia="ja-JP"/>
        </w:rPr>
        <w:t xml:space="preserve">With </w:t>
      </w:r>
      <w:r w:rsidR="00FC1E6E">
        <w:rPr>
          <w:lang w:eastAsia="ja-JP"/>
        </w:rPr>
        <w:t xml:space="preserve">Option B-FL1 </w:t>
      </w:r>
      <w:r w:rsidR="009323A0">
        <w:rPr>
          <w:lang w:eastAsia="ja-JP"/>
        </w:rPr>
        <w:t>as a direct extension of Rel-15 mandatory UE capability to the multi-slot monitoring case</w:t>
      </w:r>
      <w:r w:rsidR="0020403C">
        <w:rPr>
          <w:lang w:eastAsia="ja-JP"/>
        </w:rPr>
        <w:t>,</w:t>
      </w:r>
      <w:r w:rsidR="00EE46B5" w:rsidRPr="00EE46B5">
        <w:t xml:space="preserve"> </w:t>
      </w:r>
      <w:r w:rsidR="00EE46B5" w:rsidRPr="00EE46B5">
        <w:rPr>
          <w:lang w:eastAsia="ja-JP"/>
        </w:rPr>
        <w:t xml:space="preserve">the BD/CCE budget for an X-slot window is </w:t>
      </w:r>
      <w:r w:rsidR="0004715E">
        <w:rPr>
          <w:lang w:eastAsia="ja-JP"/>
        </w:rPr>
        <w:t xml:space="preserve">first </w:t>
      </w:r>
      <w:r w:rsidR="00ED6CBE">
        <w:rPr>
          <w:lang w:eastAsia="ja-JP"/>
        </w:rPr>
        <w:t>allocated</w:t>
      </w:r>
      <w:r w:rsidR="00EE46B5" w:rsidRPr="00EE46B5">
        <w:rPr>
          <w:lang w:eastAsia="ja-JP"/>
        </w:rPr>
        <w:t xml:space="preserve"> for monitoring CSS located within the X-slots, with the remaining budget utilized for monitoring USS according to ascending USS index. The presence of type 1 CSS without dedicated RRC configuration and for type 0, 0A, and 2 CSS within an X-slot </w:t>
      </w:r>
      <w:proofErr w:type="gramStart"/>
      <w:r w:rsidR="00EE46B5" w:rsidRPr="00EE46B5">
        <w:rPr>
          <w:lang w:eastAsia="ja-JP"/>
        </w:rPr>
        <w:t>window</w:t>
      </w:r>
      <w:proofErr w:type="gramEnd"/>
      <w:r w:rsidR="00EE46B5" w:rsidRPr="00EE46B5">
        <w:rPr>
          <w:lang w:eastAsia="ja-JP"/>
        </w:rPr>
        <w:t>, regardless of where such a CSS locates within the X-slot window, has no impact on the BD/CCE budget for the next X-slot window</w:t>
      </w:r>
      <w:r w:rsidR="00EE46B5">
        <w:rPr>
          <w:lang w:eastAsia="ja-JP"/>
        </w:rPr>
        <w:t xml:space="preserve">. </w:t>
      </w:r>
      <w:r w:rsidR="007561BF">
        <w:rPr>
          <w:lang w:eastAsia="ja-JP"/>
        </w:rPr>
        <w:t>This is</w:t>
      </w:r>
      <w:r w:rsidR="00240F99">
        <w:rPr>
          <w:lang w:eastAsia="ja-JP"/>
        </w:rPr>
        <w:t xml:space="preserve"> still a solution </w:t>
      </w:r>
      <w:r w:rsidR="00233A35">
        <w:rPr>
          <w:lang w:eastAsia="ja-JP"/>
        </w:rPr>
        <w:t xml:space="preserve">preferred by several companies </w:t>
      </w:r>
      <w:r w:rsidR="00240F99">
        <w:rPr>
          <w:lang w:eastAsia="ja-JP"/>
        </w:rPr>
        <w:t xml:space="preserve">for Rel-17 </w:t>
      </w:r>
      <w:r w:rsidR="005A7EE7">
        <w:rPr>
          <w:lang w:eastAsia="ja-JP"/>
        </w:rPr>
        <w:t xml:space="preserve">multi-slot PDCCH monitoring </w:t>
      </w:r>
      <w:r w:rsidR="00240F99">
        <w:rPr>
          <w:lang w:eastAsia="ja-JP"/>
        </w:rPr>
        <w:t xml:space="preserve">if RAN1 </w:t>
      </w:r>
      <w:r w:rsidR="00D61CD3">
        <w:rPr>
          <w:lang w:eastAsia="ja-JP"/>
        </w:rPr>
        <w:t>does not converge on the compromised solution discussed in Section 2.1.</w:t>
      </w:r>
    </w:p>
    <w:p w14:paraId="239F786C" w14:textId="450AA41B" w:rsidR="00D61CD3" w:rsidRDefault="00D61CD3" w:rsidP="006A0915">
      <w:pPr>
        <w:rPr>
          <w:lang w:eastAsia="ja-JP"/>
        </w:rPr>
      </w:pPr>
    </w:p>
    <w:p w14:paraId="5E9BC824" w14:textId="39322567" w:rsidR="007C3D90" w:rsidRPr="00F27BA4" w:rsidRDefault="007C3D90" w:rsidP="007C3D90">
      <w:pPr>
        <w:pStyle w:val="Proposal"/>
        <w:overflowPunct w:val="0"/>
        <w:autoSpaceDE w:val="0"/>
        <w:autoSpaceDN w:val="0"/>
        <w:adjustRightInd w:val="0"/>
        <w:spacing w:after="0" w:line="240" w:lineRule="auto"/>
        <w:textAlignment w:val="baseline"/>
        <w:rPr>
          <w:rFonts w:eastAsiaTheme="minorEastAsia"/>
        </w:rPr>
      </w:pPr>
      <w:bookmarkStart w:id="72" w:name="_Toc87014531"/>
      <w:r>
        <w:t>M</w:t>
      </w:r>
      <w:r w:rsidRPr="00B449E7">
        <w:t xml:space="preserve">ulti-slot PDCCH monitoring </w:t>
      </w:r>
      <w:r>
        <w:t xml:space="preserve">definition Option B-FL1 </w:t>
      </w:r>
      <w:r w:rsidR="00203662">
        <w:t>from the feature lead summary is adopted for Rel-17</w:t>
      </w:r>
      <w:r w:rsidR="00203662">
        <w:rPr>
          <w:lang w:val="en-GB"/>
        </w:rPr>
        <w:t xml:space="preserve"> </w:t>
      </w:r>
      <w:r w:rsidR="00203662">
        <w:rPr>
          <w:rFonts w:cs="Arial"/>
          <w:szCs w:val="20"/>
          <w:lang w:eastAsia="x-none"/>
        </w:rPr>
        <w:t>multi-slot PDCCH monitoring with 480/960 kHz SCS</w:t>
      </w:r>
      <w:r w:rsidR="00E30BA7">
        <w:rPr>
          <w:rFonts w:cs="Arial"/>
          <w:szCs w:val="20"/>
          <w:lang w:eastAsia="x-none"/>
        </w:rPr>
        <w:t xml:space="preserve"> if </w:t>
      </w:r>
      <w:r w:rsidR="00E30BA7">
        <w:rPr>
          <w:lang w:eastAsia="ja-JP"/>
        </w:rPr>
        <w:t>RAN1 does not converge on the compromised solution</w:t>
      </w:r>
      <w:r w:rsidR="008F70A9" w:rsidRPr="008F70A9">
        <w:rPr>
          <w:lang w:eastAsia="ja-JP"/>
        </w:rPr>
        <w:t xml:space="preserve"> </w:t>
      </w:r>
      <w:r w:rsidR="008F70A9">
        <w:rPr>
          <w:lang w:eastAsia="ja-JP"/>
        </w:rPr>
        <w:t>discussed in Section 2.1</w:t>
      </w:r>
      <w:r>
        <w:rPr>
          <w:lang w:val="en-GB"/>
        </w:rPr>
        <w:t>.</w:t>
      </w:r>
      <w:bookmarkEnd w:id="72"/>
    </w:p>
    <w:p w14:paraId="4E75136D" w14:textId="77777777" w:rsidR="000E6150" w:rsidRDefault="000E6150" w:rsidP="006A0915"/>
    <w:p w14:paraId="2C48683E" w14:textId="6F8390B1" w:rsidR="006A0915" w:rsidRDefault="006A0915" w:rsidP="006A0915">
      <w:pPr>
        <w:pStyle w:val="Heading2"/>
      </w:pPr>
      <w:bookmarkStart w:id="73" w:name="_Toc86845014"/>
      <w:r>
        <w:t>2.</w:t>
      </w:r>
      <w:r w:rsidR="009B7690">
        <w:t>3</w:t>
      </w:r>
      <w:r>
        <w:tab/>
        <w:t xml:space="preserve">Other </w:t>
      </w:r>
      <w:r w:rsidRPr="0081317A">
        <w:t xml:space="preserve">PDCCH monitoring </w:t>
      </w:r>
      <w:r w:rsidR="00297EEF">
        <w:t>issues</w:t>
      </w:r>
      <w:bookmarkEnd w:id="73"/>
    </w:p>
    <w:p w14:paraId="4E2BCF31" w14:textId="76BC7C04" w:rsidR="00A37AFE" w:rsidRDefault="00A37AFE" w:rsidP="00A37AFE">
      <w:pPr>
        <w:pStyle w:val="Heading3"/>
      </w:pPr>
      <w:bookmarkStart w:id="74" w:name="_Toc86845015"/>
      <w:r>
        <w:t>2.</w:t>
      </w:r>
      <w:r w:rsidR="009B7690">
        <w:t>3</w:t>
      </w:r>
      <w:r>
        <w:t>.1</w:t>
      </w:r>
      <w:r w:rsidRPr="00C81EDA">
        <w:tab/>
      </w:r>
      <w:r>
        <w:t>Cross-carrier scheduling</w:t>
      </w:r>
      <w:bookmarkEnd w:id="74"/>
    </w:p>
    <w:p w14:paraId="027F99C6" w14:textId="00C7DAF6" w:rsidR="00297EEF" w:rsidRDefault="007D611E" w:rsidP="00E17828">
      <w:pPr>
        <w:rPr>
          <w:lang w:val="en-GB" w:eastAsia="ja-JP"/>
        </w:rPr>
      </w:pPr>
      <w:r>
        <w:rPr>
          <w:lang w:val="en-GB" w:eastAsia="ja-JP"/>
        </w:rPr>
        <w:t xml:space="preserve">It has been discussed in RAN1 whether to impose </w:t>
      </w:r>
      <w:r w:rsidR="00AE26A6">
        <w:rPr>
          <w:lang w:val="en-GB" w:eastAsia="ja-JP"/>
        </w:rPr>
        <w:t>a limitation on cross-carrier scheduling:</w:t>
      </w:r>
    </w:p>
    <w:p w14:paraId="20A7FE26" w14:textId="54B9B807" w:rsidR="00E17828" w:rsidRDefault="00E17828" w:rsidP="002F570A">
      <w:pPr>
        <w:spacing w:before="120"/>
        <w:ind w:left="720"/>
        <w:rPr>
          <w:lang w:val="en-GB"/>
        </w:rPr>
      </w:pPr>
      <w:r>
        <w:rPr>
          <w:lang w:val="en-GB"/>
        </w:rPr>
        <w:lastRenderedPageBreak/>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w:t>
      </w:r>
      <w:r>
        <w:rPr>
          <w:rFonts w:hint="eastAsia"/>
          <w:lang w:val="en-GB"/>
        </w:rPr>
        <w:t>≤</w:t>
      </w:r>
      <w:r>
        <w:rPr>
          <w:lang w:val="en-GB"/>
        </w:rPr>
        <w:t xml:space="preserve"> k.</w:t>
      </w:r>
    </w:p>
    <w:p w14:paraId="5599005B" w14:textId="77777777" w:rsidR="00033354" w:rsidRPr="00184D90" w:rsidRDefault="00033354" w:rsidP="00184D90">
      <w:pPr>
        <w:rPr>
          <w:lang w:val="en-GB" w:eastAsia="ja-JP"/>
        </w:rPr>
      </w:pPr>
      <w:r w:rsidRPr="00184D90">
        <w:rPr>
          <w:lang w:val="en-GB" w:eastAsia="ja-JP"/>
        </w:rPr>
        <w:t>In the most recent RAN plenary (RAN#93-e), the WID was updated with the following FR1 + FR2-2 band combinations:</w:t>
      </w:r>
    </w:p>
    <w:p w14:paraId="69AF8A62" w14:textId="77777777" w:rsidR="00033354" w:rsidRPr="00D072B4" w:rsidRDefault="00033354" w:rsidP="00A87537">
      <w:pPr>
        <w:pStyle w:val="ListParagraph"/>
        <w:numPr>
          <w:ilvl w:val="0"/>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 xml:space="preserve">Specify gNB and UE RF core requirements for the band(s) in the above frequency range, including a limited set of example band combinations (see Note 1). </w:t>
      </w:r>
    </w:p>
    <w:p w14:paraId="0E5CBDF4" w14:textId="77777777" w:rsidR="00033354" w:rsidRPr="00D072B4" w:rsidRDefault="00033354" w:rsidP="00A87537">
      <w:pPr>
        <w:pStyle w:val="ListParagraph"/>
        <w:numPr>
          <w:ilvl w:val="1"/>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For the case of FR2-2 DC or CA with an anchor in FR1 the following three example band combinations shall be considered:</w:t>
      </w:r>
    </w:p>
    <w:p w14:paraId="16EFDFC8" w14:textId="77777777" w:rsidR="00033354" w:rsidRPr="00D072B4" w:rsidRDefault="00033354" w:rsidP="00A87537">
      <w:pPr>
        <w:pStyle w:val="ListParagraph"/>
        <w:numPr>
          <w:ilvl w:val="2"/>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 xml:space="preserve">n79 + </w:t>
      </w:r>
      <w:proofErr w:type="spellStart"/>
      <w:r w:rsidRPr="00D072B4">
        <w:rPr>
          <w:rFonts w:ascii="Arial" w:hAnsi="Arial" w:cs="Arial"/>
          <w:sz w:val="20"/>
          <w:szCs w:val="20"/>
          <w:lang w:val="en-GB" w:eastAsia="ja-JP"/>
        </w:rPr>
        <w:t>Nx</w:t>
      </w:r>
      <w:proofErr w:type="spellEnd"/>
      <w:r w:rsidRPr="00D072B4">
        <w:rPr>
          <w:rFonts w:ascii="Arial" w:hAnsi="Arial" w:cs="Arial"/>
          <w:sz w:val="20"/>
          <w:szCs w:val="20"/>
          <w:lang w:val="en-GB" w:eastAsia="ja-JP"/>
        </w:rPr>
        <w:t xml:space="preserve"> </w:t>
      </w:r>
    </w:p>
    <w:p w14:paraId="0B68C098" w14:textId="77777777" w:rsidR="00033354" w:rsidRPr="00D072B4" w:rsidRDefault="00033354" w:rsidP="00A87537">
      <w:pPr>
        <w:pStyle w:val="ListParagraph"/>
        <w:numPr>
          <w:ilvl w:val="2"/>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 xml:space="preserve">n77 + </w:t>
      </w:r>
      <w:proofErr w:type="spellStart"/>
      <w:r w:rsidRPr="00D072B4">
        <w:rPr>
          <w:rFonts w:ascii="Arial" w:hAnsi="Arial" w:cs="Arial"/>
          <w:sz w:val="20"/>
          <w:szCs w:val="20"/>
          <w:lang w:val="en-GB" w:eastAsia="ja-JP"/>
        </w:rPr>
        <w:t>Nx</w:t>
      </w:r>
      <w:proofErr w:type="spellEnd"/>
      <w:r w:rsidRPr="00D072B4">
        <w:rPr>
          <w:rFonts w:ascii="Arial" w:hAnsi="Arial" w:cs="Arial"/>
          <w:sz w:val="20"/>
          <w:szCs w:val="20"/>
          <w:lang w:val="en-GB" w:eastAsia="ja-JP"/>
        </w:rPr>
        <w:t xml:space="preserve"> </w:t>
      </w:r>
    </w:p>
    <w:p w14:paraId="4CB13EE4" w14:textId="77777777" w:rsidR="00033354" w:rsidRPr="00D072B4" w:rsidRDefault="00033354" w:rsidP="00A87537">
      <w:pPr>
        <w:pStyle w:val="ListParagraph"/>
        <w:numPr>
          <w:ilvl w:val="2"/>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 xml:space="preserve">n41 + </w:t>
      </w:r>
      <w:proofErr w:type="spellStart"/>
      <w:r w:rsidRPr="00D072B4">
        <w:rPr>
          <w:rFonts w:ascii="Arial" w:hAnsi="Arial" w:cs="Arial"/>
          <w:sz w:val="20"/>
          <w:szCs w:val="20"/>
          <w:lang w:val="en-GB" w:eastAsia="ja-JP"/>
        </w:rPr>
        <w:t>Nx</w:t>
      </w:r>
      <w:proofErr w:type="spellEnd"/>
      <w:r w:rsidRPr="00D072B4">
        <w:rPr>
          <w:rFonts w:ascii="Arial" w:hAnsi="Arial" w:cs="Arial"/>
          <w:sz w:val="20"/>
          <w:szCs w:val="20"/>
          <w:lang w:val="en-GB" w:eastAsia="ja-JP"/>
        </w:rPr>
        <w:t xml:space="preserve"> </w:t>
      </w:r>
    </w:p>
    <w:p w14:paraId="46C68918" w14:textId="77777777" w:rsidR="00033354" w:rsidRPr="00D072B4" w:rsidRDefault="00033354" w:rsidP="00A87537">
      <w:pPr>
        <w:pStyle w:val="ListParagraph"/>
        <w:numPr>
          <w:ilvl w:val="1"/>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 xml:space="preserve">where </w:t>
      </w:r>
      <w:proofErr w:type="spellStart"/>
      <w:r w:rsidRPr="00D072B4">
        <w:rPr>
          <w:rFonts w:ascii="Arial" w:hAnsi="Arial" w:cs="Arial"/>
          <w:sz w:val="20"/>
          <w:szCs w:val="20"/>
          <w:lang w:val="en-GB" w:eastAsia="ja-JP"/>
        </w:rPr>
        <w:t>Nx</w:t>
      </w:r>
      <w:proofErr w:type="spellEnd"/>
      <w:r w:rsidRPr="00D072B4">
        <w:rPr>
          <w:rFonts w:ascii="Arial" w:hAnsi="Arial" w:cs="Arial"/>
          <w:sz w:val="20"/>
          <w:szCs w:val="20"/>
          <w:lang w:val="en-GB" w:eastAsia="ja-JP"/>
        </w:rPr>
        <w:t xml:space="preserve"> is the 57-71 GHz band for unlicensed operation and the [66-71] GHz for licensed operation. </w:t>
      </w:r>
    </w:p>
    <w:p w14:paraId="49863682" w14:textId="77777777" w:rsidR="00033354" w:rsidRPr="00D072B4" w:rsidRDefault="00033354" w:rsidP="00A87537">
      <w:pPr>
        <w:pStyle w:val="ListParagraph"/>
        <w:numPr>
          <w:ilvl w:val="1"/>
          <w:numId w:val="33"/>
        </w:numPr>
        <w:spacing w:after="120"/>
        <w:contextualSpacing/>
        <w:rPr>
          <w:rFonts w:ascii="Arial" w:hAnsi="Arial" w:cs="Arial"/>
          <w:sz w:val="20"/>
          <w:szCs w:val="20"/>
          <w:lang w:val="en-GB" w:eastAsia="ja-JP"/>
        </w:rPr>
      </w:pPr>
      <w:r w:rsidRPr="00D072B4">
        <w:rPr>
          <w:rFonts w:ascii="Arial" w:hAnsi="Arial" w:cs="Arial"/>
          <w:sz w:val="20"/>
          <w:szCs w:val="20"/>
          <w:lang w:val="en-GB" w:eastAsia="ja-JP"/>
        </w:rPr>
        <w:t>RAN4 to further discuss the need for single or multiple bands relevant for FR2-2 licensed/unlicensed operation.</w:t>
      </w:r>
    </w:p>
    <w:p w14:paraId="36D5E9E8" w14:textId="5DE883C4" w:rsidR="00033354" w:rsidRPr="00297EEF" w:rsidRDefault="00033354" w:rsidP="00184D90">
      <w:pPr>
        <w:rPr>
          <w:lang w:val="en-GB" w:eastAsia="ja-JP"/>
        </w:rPr>
      </w:pPr>
      <w:r w:rsidRPr="00184D90">
        <w:rPr>
          <w:lang w:val="en-GB" w:eastAsia="ja-JP"/>
        </w:rPr>
        <w:t xml:space="preserve">Given that bands n41, n78, and n79 in FR1 are defined in 38.101-1 for both 15 and 30 kHz, </w:t>
      </w:r>
      <w:r w:rsidR="009B1FC7">
        <w:rPr>
          <w:lang w:val="en-GB" w:eastAsia="ja-JP"/>
        </w:rPr>
        <w:t>|</w:t>
      </w:r>
      <w:proofErr w:type="spellStart"/>
      <w:r w:rsidR="009B1FC7" w:rsidRPr="00184D90">
        <w:rPr>
          <w:lang w:val="en-GB" w:eastAsia="ja-JP"/>
        </w:rPr>
        <w:t>μ</w:t>
      </w:r>
      <w:r w:rsidR="009B1FC7" w:rsidRPr="008708B2">
        <w:rPr>
          <w:vertAlign w:val="subscript"/>
          <w:lang w:val="en-GB" w:eastAsia="ja-JP"/>
        </w:rPr>
        <w:t>PDCCH</w:t>
      </w:r>
      <w:proofErr w:type="spellEnd"/>
      <w:r w:rsidR="009B1FC7">
        <w:rPr>
          <w:lang w:val="en-GB" w:eastAsia="ja-JP"/>
        </w:rPr>
        <w:t xml:space="preserve"> − </w:t>
      </w:r>
      <w:proofErr w:type="spellStart"/>
      <w:r w:rsidR="009B1FC7" w:rsidRPr="00184D90">
        <w:rPr>
          <w:lang w:val="en-GB" w:eastAsia="ja-JP"/>
        </w:rPr>
        <w:t>μ</w:t>
      </w:r>
      <w:r w:rsidR="009B1FC7" w:rsidRPr="008708B2">
        <w:rPr>
          <w:vertAlign w:val="subscript"/>
          <w:lang w:val="en-GB" w:eastAsia="ja-JP"/>
        </w:rPr>
        <w:t>PDSCH</w:t>
      </w:r>
      <w:proofErr w:type="spellEnd"/>
      <w:r w:rsidR="009B1FC7">
        <w:rPr>
          <w:lang w:val="en-GB" w:eastAsia="ja-JP"/>
        </w:rPr>
        <w:t xml:space="preserve">| </w:t>
      </w:r>
      <w:r w:rsidR="008708B2" w:rsidRPr="00184D90">
        <w:rPr>
          <w:lang w:val="en-GB" w:eastAsia="ja-JP"/>
        </w:rPr>
        <w:t>for cross-carrier scheduling from FR1 to FR2-2</w:t>
      </w:r>
      <w:r w:rsidR="008708B2">
        <w:rPr>
          <w:lang w:val="en-GB" w:eastAsia="ja-JP"/>
        </w:rPr>
        <w:t xml:space="preserve"> </w:t>
      </w:r>
      <w:r w:rsidR="009B1FC7" w:rsidRPr="00184D90">
        <w:rPr>
          <w:lang w:val="en-GB" w:eastAsia="ja-JP"/>
        </w:rPr>
        <w:t>can take values as large as 5</w:t>
      </w:r>
      <w:r w:rsidR="00164074">
        <w:rPr>
          <w:lang w:val="en-GB" w:eastAsia="ja-JP"/>
        </w:rPr>
        <w:t xml:space="preserve"> and </w:t>
      </w:r>
      <w:r w:rsidR="009B1FC7" w:rsidRPr="00184D90">
        <w:rPr>
          <w:lang w:val="en-GB" w:eastAsia="ja-JP"/>
        </w:rPr>
        <w:t>6 for 480</w:t>
      </w:r>
      <w:r w:rsidR="00164074">
        <w:rPr>
          <w:lang w:val="en-GB" w:eastAsia="ja-JP"/>
        </w:rPr>
        <w:t xml:space="preserve"> and </w:t>
      </w:r>
      <w:r w:rsidR="009B1FC7" w:rsidRPr="00184D90">
        <w:rPr>
          <w:lang w:val="en-GB" w:eastAsia="ja-JP"/>
        </w:rPr>
        <w:t>960 kHz SCS, respectively</w:t>
      </w:r>
      <w:r w:rsidR="00164074">
        <w:rPr>
          <w:lang w:val="en-GB" w:eastAsia="ja-JP"/>
        </w:rPr>
        <w:t xml:space="preserve">. </w:t>
      </w:r>
      <w:r w:rsidR="002F570A">
        <w:rPr>
          <w:lang w:val="en-GB" w:eastAsia="ja-JP"/>
        </w:rPr>
        <w:t xml:space="preserve">Hence, </w:t>
      </w:r>
      <w:r w:rsidR="00437422">
        <w:rPr>
          <w:lang w:val="en-GB" w:eastAsia="ja-JP"/>
        </w:rPr>
        <w:t xml:space="preserve">if </w:t>
      </w:r>
      <w:r w:rsidR="00437422" w:rsidRPr="00184D90">
        <w:rPr>
          <w:lang w:val="en-GB" w:eastAsia="ja-JP"/>
        </w:rPr>
        <w:t xml:space="preserve">k is limited to 3, then cross carrier scheduling from FR1 to FR2-2 would not be supported at all, which </w:t>
      </w:r>
      <w:r w:rsidR="00905230">
        <w:rPr>
          <w:lang w:val="en-GB" w:eastAsia="ja-JP"/>
        </w:rPr>
        <w:t xml:space="preserve">is </w:t>
      </w:r>
      <w:r w:rsidR="00437422" w:rsidRPr="00184D90">
        <w:rPr>
          <w:lang w:val="en-GB" w:eastAsia="ja-JP"/>
        </w:rPr>
        <w:t xml:space="preserve">contrary to the </w:t>
      </w:r>
      <w:r w:rsidR="00905230" w:rsidRPr="00184D90">
        <w:rPr>
          <w:lang w:val="en-GB" w:eastAsia="ja-JP"/>
        </w:rPr>
        <w:t>sp</w:t>
      </w:r>
      <w:r w:rsidR="00905230">
        <w:rPr>
          <w:lang w:val="en-GB" w:eastAsia="ja-JP"/>
        </w:rPr>
        <w:t>i</w:t>
      </w:r>
      <w:r w:rsidR="00905230" w:rsidRPr="00184D90">
        <w:rPr>
          <w:lang w:val="en-GB" w:eastAsia="ja-JP"/>
        </w:rPr>
        <w:t>rit</w:t>
      </w:r>
      <w:r w:rsidR="00437422" w:rsidRPr="00184D90">
        <w:rPr>
          <w:lang w:val="en-GB" w:eastAsia="ja-JP"/>
        </w:rPr>
        <w:t xml:space="preserve"> of the WID.</w:t>
      </w:r>
      <w:r w:rsidR="008262FA">
        <w:rPr>
          <w:lang w:val="en-GB" w:eastAsia="ja-JP"/>
        </w:rPr>
        <w:t xml:space="preserve"> </w:t>
      </w:r>
      <w:r w:rsidR="00AA2E9F">
        <w:rPr>
          <w:lang w:val="en-GB" w:eastAsia="ja-JP"/>
        </w:rPr>
        <w:t xml:space="preserve">On the other hand, </w:t>
      </w:r>
      <w:r w:rsidRPr="00184D90">
        <w:rPr>
          <w:lang w:val="en-GB" w:eastAsia="ja-JP"/>
        </w:rPr>
        <w:t>limiting to k = 4 would mean that cross-carrier scheduling would at least be supported from FR1 with 30 kHz SCS to FR2-2 with 480 kHz. Hence</w:t>
      </w:r>
      <w:r w:rsidR="00826216">
        <w:rPr>
          <w:lang w:val="en-GB" w:eastAsia="ja-JP"/>
        </w:rPr>
        <w:t>,</w:t>
      </w:r>
      <w:r w:rsidRPr="00184D90">
        <w:rPr>
          <w:lang w:val="en-GB" w:eastAsia="ja-JP"/>
        </w:rPr>
        <w:t xml:space="preserve"> we </w:t>
      </w:r>
      <w:r w:rsidR="00826216">
        <w:rPr>
          <w:lang w:val="en-GB" w:eastAsia="ja-JP"/>
        </w:rPr>
        <w:t xml:space="preserve">believe </w:t>
      </w:r>
      <w:r w:rsidRPr="00184D90">
        <w:rPr>
          <w:lang w:val="en-GB" w:eastAsia="ja-JP"/>
        </w:rPr>
        <w:t>that k should be no less than 4, and k = 5</w:t>
      </w:r>
      <w:r w:rsidR="00826216">
        <w:rPr>
          <w:lang w:val="en-GB" w:eastAsia="ja-JP"/>
        </w:rPr>
        <w:t xml:space="preserve"> should not be precluded without </w:t>
      </w:r>
      <w:r w:rsidR="00A43B85">
        <w:rPr>
          <w:lang w:val="en-GB" w:eastAsia="ja-JP"/>
        </w:rPr>
        <w:t xml:space="preserve">strong </w:t>
      </w:r>
      <w:r w:rsidR="00406C91">
        <w:rPr>
          <w:lang w:val="en-GB" w:eastAsia="ja-JP"/>
        </w:rPr>
        <w:t xml:space="preserve">contrary </w:t>
      </w:r>
      <w:r w:rsidR="000D252D">
        <w:rPr>
          <w:lang w:val="en-GB" w:eastAsia="ja-JP"/>
        </w:rPr>
        <w:t>evidence</w:t>
      </w:r>
      <w:r w:rsidRPr="00184D90">
        <w:rPr>
          <w:lang w:val="en-GB" w:eastAsia="ja-JP"/>
        </w:rPr>
        <w:t>.</w:t>
      </w:r>
    </w:p>
    <w:p w14:paraId="139AF812" w14:textId="73D5D622" w:rsidR="00F75FE1" w:rsidRPr="00F27BA4" w:rsidRDefault="00F75FE1" w:rsidP="00F75FE1">
      <w:pPr>
        <w:pStyle w:val="Proposal"/>
        <w:overflowPunct w:val="0"/>
        <w:autoSpaceDE w:val="0"/>
        <w:autoSpaceDN w:val="0"/>
        <w:adjustRightInd w:val="0"/>
        <w:spacing w:after="0" w:line="240" w:lineRule="auto"/>
        <w:textAlignment w:val="baseline"/>
        <w:rPr>
          <w:rFonts w:eastAsiaTheme="minorEastAsia"/>
        </w:rPr>
      </w:pPr>
      <w:bookmarkStart w:id="75" w:name="_Toc87014532"/>
      <w:r>
        <w:rPr>
          <w:rFonts w:eastAsiaTheme="minorEastAsia"/>
        </w:rPr>
        <w:t xml:space="preserve">From cross-carrier scheduling </w:t>
      </w:r>
      <w:r w:rsidR="00CF57B3">
        <w:rPr>
          <w:rFonts w:eastAsiaTheme="minorEastAsia"/>
        </w:rPr>
        <w:t xml:space="preserve">of </w:t>
      </w:r>
      <w:r w:rsidR="0048326D">
        <w:rPr>
          <w:rFonts w:eastAsiaTheme="minorEastAsia"/>
        </w:rPr>
        <w:t xml:space="preserve">a </w:t>
      </w:r>
      <w:r w:rsidR="00CF57B3">
        <w:rPr>
          <w:rFonts w:eastAsiaTheme="minorEastAsia"/>
        </w:rPr>
        <w:t>serving cell</w:t>
      </w:r>
      <w:r w:rsidR="0048326D">
        <w:rPr>
          <w:rFonts w:eastAsiaTheme="minorEastAsia"/>
        </w:rPr>
        <w:t xml:space="preserve"> from another cell of different numer</w:t>
      </w:r>
      <w:r w:rsidR="00433D94">
        <w:rPr>
          <w:rFonts w:eastAsiaTheme="minorEastAsia"/>
        </w:rPr>
        <w:t xml:space="preserve">ologies is supported at least for </w:t>
      </w:r>
      <w:r w:rsidR="00433D94">
        <w:rPr>
          <w:lang w:val="en-GB"/>
        </w:rPr>
        <w:t>|</w:t>
      </w:r>
      <w:proofErr w:type="spellStart"/>
      <w:r w:rsidR="00433D94">
        <w:rPr>
          <w:i/>
          <w:lang w:val="en-GB"/>
        </w:rPr>
        <w:t>μ</w:t>
      </w:r>
      <w:r w:rsidR="00433D94">
        <w:rPr>
          <w:i/>
          <w:vertAlign w:val="subscript"/>
          <w:lang w:val="en-GB"/>
        </w:rPr>
        <w:t>PDCCH</w:t>
      </w:r>
      <w:proofErr w:type="spellEnd"/>
      <w:r w:rsidR="00433D94">
        <w:rPr>
          <w:lang w:val="en-GB"/>
        </w:rPr>
        <w:t xml:space="preserve"> − </w:t>
      </w:r>
      <w:proofErr w:type="spellStart"/>
      <w:r w:rsidR="00433D94">
        <w:rPr>
          <w:i/>
          <w:lang w:val="en-GB"/>
        </w:rPr>
        <w:t>μ</w:t>
      </w:r>
      <w:r w:rsidR="00433D94">
        <w:rPr>
          <w:i/>
          <w:vertAlign w:val="subscript"/>
          <w:lang w:val="en-GB"/>
        </w:rPr>
        <w:t>PDSCH</w:t>
      </w:r>
      <w:proofErr w:type="spellEnd"/>
      <w:r w:rsidR="00433D94">
        <w:rPr>
          <w:lang w:val="en-GB"/>
        </w:rPr>
        <w:t xml:space="preserve">| </w:t>
      </w:r>
      <w:r w:rsidR="00433D94">
        <w:rPr>
          <w:rFonts w:hint="eastAsia"/>
          <w:lang w:val="en-GB"/>
        </w:rPr>
        <w:t>≤</w:t>
      </w:r>
      <w:r w:rsidR="00433D94">
        <w:rPr>
          <w:lang w:val="en-GB"/>
        </w:rPr>
        <w:t xml:space="preserve"> </w:t>
      </w:r>
      <w:r w:rsidR="00CE18A0">
        <w:rPr>
          <w:lang w:val="en-GB"/>
        </w:rPr>
        <w:t>5</w:t>
      </w:r>
      <w:r w:rsidR="00433D94">
        <w:rPr>
          <w:lang w:val="en-GB"/>
        </w:rPr>
        <w:t>.</w:t>
      </w:r>
      <w:bookmarkEnd w:id="75"/>
    </w:p>
    <w:p w14:paraId="217EFB88" w14:textId="2477B3AC" w:rsidR="00F40B93" w:rsidRDefault="00F40B93" w:rsidP="006A0915"/>
    <w:p w14:paraId="51F92CD2" w14:textId="057DC853" w:rsidR="000907F2" w:rsidRDefault="000907F2" w:rsidP="000907F2">
      <w:pPr>
        <w:pStyle w:val="Heading3"/>
      </w:pPr>
      <w:r>
        <w:t>2.</w:t>
      </w:r>
      <w:r w:rsidR="009B7690">
        <w:t>3</w:t>
      </w:r>
      <w:r>
        <w:t>.</w:t>
      </w:r>
      <w:r w:rsidR="007F33DC">
        <w:t>2</w:t>
      </w:r>
      <w:r w:rsidRPr="00C81EDA">
        <w:tab/>
      </w:r>
      <w:r>
        <w:t xml:space="preserve">Search space set </w:t>
      </w:r>
      <w:r w:rsidR="00C72369">
        <w:t>group switching</w:t>
      </w:r>
    </w:p>
    <w:p w14:paraId="0A10F1A4" w14:textId="1516BD48" w:rsidR="00B11F61" w:rsidRDefault="009D22E0" w:rsidP="000907F2">
      <w:r>
        <w:t xml:space="preserve">In </w:t>
      </w:r>
      <w:r w:rsidR="00BE012F">
        <w:t>Rel-16</w:t>
      </w:r>
      <w:r>
        <w:t>,</w:t>
      </w:r>
      <w:r w:rsidR="00BE012F">
        <w:t xml:space="preserve"> search space set group (SSSG) switching </w:t>
      </w:r>
      <w:r w:rsidR="00073B59">
        <w:t xml:space="preserve">was introduced for </w:t>
      </w:r>
      <w:r w:rsidR="0011283A">
        <w:t xml:space="preserve">handle the necessary LBT procedures for shared spectrum access in the FR-1. </w:t>
      </w:r>
      <w:r w:rsidR="000907F2">
        <w:t xml:space="preserve">Many </w:t>
      </w:r>
      <w:r w:rsidR="00933DEA">
        <w:t xml:space="preserve">sources had discussed </w:t>
      </w:r>
      <w:r w:rsidR="000907F2">
        <w:t xml:space="preserve">support </w:t>
      </w:r>
      <w:r w:rsidR="00933DEA">
        <w:t xml:space="preserve">of </w:t>
      </w:r>
      <w:r w:rsidR="000907F2">
        <w:t>SSSG switching for 480/960 kHz</w:t>
      </w:r>
      <w:r w:rsidR="00933DEA">
        <w:t xml:space="preserve"> </w:t>
      </w:r>
      <w:r w:rsidR="00B11F61">
        <w:t>SCS cells</w:t>
      </w:r>
      <w:r w:rsidR="00A526D4">
        <w:t>.</w:t>
      </w:r>
      <w:r w:rsidR="00BE4C78">
        <w:t xml:space="preserve"> Some sources consider</w:t>
      </w:r>
      <w:r w:rsidR="008F14C0">
        <w:t>ed</w:t>
      </w:r>
      <w:r w:rsidR="00BE4C78">
        <w:t xml:space="preserve"> the support as a natural extension of the Rel-16 functionalities and </w:t>
      </w:r>
      <w:r w:rsidR="0077748B">
        <w:t xml:space="preserve">an explicit agreement of support may not be needed. All that is needed is the definition of a proper </w:t>
      </w:r>
      <w:r w:rsidR="008F14C0">
        <w:t xml:space="preserve">minimum switching time. Other sources considered the potential complications </w:t>
      </w:r>
      <w:r w:rsidR="00140CC1">
        <w:t>if different SSSGs are configured with different slot group sizes.</w:t>
      </w:r>
    </w:p>
    <w:p w14:paraId="2DB9289E" w14:textId="68D13E25" w:rsidR="00140CC1" w:rsidRDefault="009D22E0" w:rsidP="000907F2">
      <w:r>
        <w:t>Our view is that t</w:t>
      </w:r>
      <w:r w:rsidR="00561E37">
        <w:t xml:space="preserve">here is no need to spend valuable RAN1 time on additional changes or enhancements. </w:t>
      </w:r>
      <w:r w:rsidR="00892C2A">
        <w:t xml:space="preserve">Furthermore, </w:t>
      </w:r>
      <w:r w:rsidR="00952574">
        <w:t xml:space="preserve">if only X=4 for 480 kHz SCS and X=8 for 960 kHz SCS </w:t>
      </w:r>
      <w:proofErr w:type="gramStart"/>
      <w:r w:rsidR="00952574">
        <w:t>are</w:t>
      </w:r>
      <w:proofErr w:type="gramEnd"/>
      <w:r w:rsidR="00952574">
        <w:t xml:space="preserve"> supported, </w:t>
      </w:r>
      <w:r w:rsidR="00110E3D">
        <w:t>the functionality of the SSSG switching is also straightforward</w:t>
      </w:r>
      <w:r w:rsidR="008F1D44">
        <w:t xml:space="preserve"> for </w:t>
      </w:r>
      <w:r w:rsidR="00F5395B">
        <w:t>480/960 kHz SCS</w:t>
      </w:r>
      <w:r w:rsidR="00110E3D">
        <w:t>.</w:t>
      </w:r>
    </w:p>
    <w:p w14:paraId="00A18FFF" w14:textId="7D2FE37B" w:rsidR="00011403" w:rsidRPr="00F27BA4" w:rsidRDefault="009D22E0" w:rsidP="00011403">
      <w:pPr>
        <w:pStyle w:val="Proposal"/>
        <w:overflowPunct w:val="0"/>
        <w:autoSpaceDE w:val="0"/>
        <w:autoSpaceDN w:val="0"/>
        <w:adjustRightInd w:val="0"/>
        <w:spacing w:after="0" w:line="240" w:lineRule="auto"/>
        <w:textAlignment w:val="baseline"/>
        <w:rPr>
          <w:rFonts w:eastAsiaTheme="minorEastAsia"/>
        </w:rPr>
      </w:pPr>
      <w:bookmarkStart w:id="76" w:name="_Toc87014533"/>
      <w:r>
        <w:t xml:space="preserve">Enhancements to </w:t>
      </w:r>
      <w:r w:rsidR="00011403">
        <w:t xml:space="preserve">Rel-16 search space set group (SSSG) switching </w:t>
      </w:r>
      <w:r w:rsidR="005D51A2">
        <w:t xml:space="preserve">is of low priority for Rel-17 NR operation </w:t>
      </w:r>
      <w:r w:rsidR="00280169">
        <w:t xml:space="preserve">in the above 52.6 GHz range. The </w:t>
      </w:r>
      <w:r>
        <w:t>Rel-16</w:t>
      </w:r>
      <w:r w:rsidR="00280169">
        <w:t xml:space="preserve"> functionality </w:t>
      </w:r>
      <w:r w:rsidR="007322A7">
        <w:t>can be supported for a 480/960 kHz SCS cell</w:t>
      </w:r>
      <w:r w:rsidR="007322A7">
        <w:rPr>
          <w:rFonts w:eastAsiaTheme="minorEastAsia"/>
        </w:rPr>
        <w:t xml:space="preserve"> </w:t>
      </w:r>
      <w:r w:rsidR="00F536EA">
        <w:rPr>
          <w:rFonts w:eastAsiaTheme="minorEastAsia"/>
        </w:rPr>
        <w:t xml:space="preserve">without additional enhancement </w:t>
      </w:r>
      <w:r w:rsidR="00A27657">
        <w:rPr>
          <w:rFonts w:eastAsiaTheme="minorEastAsia"/>
        </w:rPr>
        <w:t xml:space="preserve">if RAN1 can agree on </w:t>
      </w:r>
      <w:r w:rsidR="000933AF">
        <w:rPr>
          <w:rFonts w:eastAsiaTheme="minorEastAsia"/>
        </w:rPr>
        <w:t xml:space="preserve">the corresponding </w:t>
      </w:r>
      <w:r w:rsidR="00B43270">
        <w:rPr>
          <w:rFonts w:eastAsiaTheme="minorEastAsia"/>
        </w:rPr>
        <w:t>minimum switching time</w:t>
      </w:r>
      <w:r w:rsidR="004C0B0B">
        <w:rPr>
          <w:rFonts w:eastAsiaTheme="minorEastAsia"/>
        </w:rPr>
        <w:t>s</w:t>
      </w:r>
      <w:r w:rsidR="004C0B0B">
        <w:rPr>
          <w:lang w:val="en-GB"/>
        </w:rPr>
        <w:t>.</w:t>
      </w:r>
      <w:bookmarkEnd w:id="76"/>
      <w:r w:rsidR="004C0B0B">
        <w:rPr>
          <w:lang w:val="en-GB"/>
        </w:rPr>
        <w:t xml:space="preserve"> </w:t>
      </w:r>
    </w:p>
    <w:p w14:paraId="33A25EF1" w14:textId="77777777" w:rsidR="00F40B93" w:rsidRDefault="00F40B93" w:rsidP="006A0915"/>
    <w:p w14:paraId="7A2EDFAA" w14:textId="637E7623" w:rsidR="00394451" w:rsidRPr="00CE0424" w:rsidRDefault="00394451" w:rsidP="00394451">
      <w:pPr>
        <w:pStyle w:val="Heading1"/>
      </w:pPr>
      <w:bookmarkStart w:id="77" w:name="_Toc67653048"/>
      <w:bookmarkStart w:id="78" w:name="_Toc86845016"/>
      <w:r w:rsidRPr="00CE0424">
        <w:t>Conclusion</w:t>
      </w:r>
      <w:bookmarkEnd w:id="77"/>
      <w:bookmarkEnd w:id="78"/>
    </w:p>
    <w:p w14:paraId="7F453617" w14:textId="29DCF55A" w:rsidR="00D3526E" w:rsidRDefault="00D3526E" w:rsidP="00D3526E">
      <w:pPr>
        <w:pStyle w:val="BodyText"/>
        <w:rPr>
          <w:b/>
          <w:bCs/>
        </w:rPr>
      </w:pPr>
      <w:r w:rsidRPr="00D3526E">
        <w:t>In this paper we made the following observations:</w:t>
      </w:r>
      <w:r w:rsidRPr="00D3526E">
        <w:rPr>
          <w:b/>
          <w:bCs/>
        </w:rPr>
        <w:t xml:space="preserve"> </w:t>
      </w:r>
    </w:p>
    <w:p w14:paraId="2DBC6DDF" w14:textId="77777777" w:rsidR="00DA4E42" w:rsidRPr="00DA4E42" w:rsidRDefault="00DA4E42" w:rsidP="00DA4E42">
      <w:pPr>
        <w:pStyle w:val="Observation"/>
        <w:numPr>
          <w:ilvl w:val="0"/>
          <w:numId w:val="44"/>
        </w:numPr>
        <w:ind w:left="1530" w:hanging="1530"/>
        <w:rPr>
          <w:lang w:val="en-GB"/>
        </w:rPr>
      </w:pPr>
      <w:r w:rsidRPr="00BF0738">
        <w:t xml:space="preserve">Per Rel-15/16 specs, </w:t>
      </w:r>
      <w:r w:rsidRPr="00DA4E42">
        <w:rPr>
          <w:lang w:val="en-GB"/>
        </w:rPr>
        <w:t xml:space="preserve">the UE monitors PDCCH candidates for search space set </w:t>
      </w:r>
      <m:oMath>
        <m:r>
          <m:rPr>
            <m:sty m:val="bi"/>
          </m:rPr>
          <w:rPr>
            <w:rFonts w:ascii="Cambria Math" w:hAnsi="Cambria Math"/>
            <w:lang w:val="en-GB"/>
          </w:rPr>
          <m:t>s</m:t>
        </m:r>
      </m:oMath>
      <w:r w:rsidRPr="00DA4E42">
        <w:rPr>
          <w:lang w:val="en-GB"/>
        </w:rPr>
        <w:t xml:space="preserve"> in a slot with number </w:t>
      </w:r>
      <m:oMath>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m:t>
            </m:r>
            <m:r>
              <m:rPr>
                <m:sty m:val="b"/>
              </m:rPr>
              <w:rPr>
                <w:rFonts w:ascii="Cambria Math" w:hAnsi="Cambria Math"/>
                <w:lang w:val="en-GB"/>
              </w:rPr>
              <m:t>,</m:t>
            </m:r>
            <m:r>
              <m:rPr>
                <m:sty m:val="bi"/>
              </m:rPr>
              <w:rPr>
                <w:rFonts w:ascii="Cambria Math" w:hAnsi="Cambria Math"/>
                <w:lang w:val="en-GB"/>
              </w:rPr>
              <m:t>f</m:t>
            </m:r>
          </m:sub>
          <m:sup>
            <m:r>
              <m:rPr>
                <m:sty m:val="bi"/>
              </m:rPr>
              <w:rPr>
                <w:rFonts w:ascii="Cambria Math" w:hAnsi="Cambria Math"/>
                <w:lang w:val="en-GB"/>
              </w:rPr>
              <m:t>μ</m:t>
            </m:r>
          </m:sup>
        </m:sSubSup>
      </m:oMath>
      <w:r w:rsidRPr="00DA4E42">
        <w:rPr>
          <w:rFonts w:eastAsiaTheme="minorEastAsia"/>
          <w:lang w:val="en-GB"/>
        </w:rPr>
        <w:t xml:space="preserve"> </w:t>
      </w:r>
      <w:r w:rsidRPr="00DA4E42">
        <w:rPr>
          <w:lang w:val="en-GB"/>
        </w:rPr>
        <w:t xml:space="preserve">in a frame with number </w:t>
      </w:r>
      <m:oMath>
        <m:sSub>
          <m:sSubPr>
            <m:ctrlPr>
              <w:rPr>
                <w:rFonts w:ascii="Cambria Math" w:hAnsi="Cambria Math"/>
                <w:lang w:val="en-GB"/>
              </w:rPr>
            </m:ctrlPr>
          </m:sSubPr>
          <m:e>
            <m:r>
              <m:rPr>
                <m:sty m:val="bi"/>
              </m:rPr>
              <w:rPr>
                <w:rFonts w:ascii="Cambria Math" w:hAnsi="Cambria Math"/>
                <w:lang w:val="en-GB"/>
              </w:rPr>
              <m:t>n</m:t>
            </m:r>
          </m:e>
          <m:sub>
            <m:r>
              <m:rPr>
                <m:sty m:val="bi"/>
              </m:rPr>
              <w:rPr>
                <w:rFonts w:ascii="Cambria Math" w:hAnsi="Cambria Math"/>
                <w:lang w:val="en-GB"/>
              </w:rPr>
              <m:t>f</m:t>
            </m:r>
          </m:sub>
        </m:sSub>
      </m:oMath>
      <w:r w:rsidRPr="00DA4E42">
        <w:rPr>
          <w:rFonts w:eastAsiaTheme="minorEastAsia"/>
          <w:lang w:val="en-GB"/>
        </w:rPr>
        <w:t xml:space="preserve"> if</w:t>
      </w:r>
      <w:r w:rsidRPr="00DA4E42">
        <w:rPr>
          <w:rFonts w:eastAsiaTheme="minorEastAsia"/>
          <w:lang w:val="en-GB"/>
        </w:rPr>
        <w:br/>
      </w:r>
      <m:oMathPara>
        <m:oMath>
          <m:d>
            <m:dPr>
              <m:ctrlPr>
                <w:rPr>
                  <w:rFonts w:ascii="Cambria Math" w:hAnsi="Cambria Math"/>
                  <w:lang w:val="en-GB"/>
                </w:rPr>
              </m:ctrlPr>
            </m:dPr>
            <m:e>
              <m:sSub>
                <m:sSubPr>
                  <m:ctrlPr>
                    <w:rPr>
                      <w:rFonts w:ascii="Cambria Math" w:hAnsi="Cambria Math"/>
                      <w:lang w:val="en-GB"/>
                    </w:rPr>
                  </m:ctrlPr>
                </m:sSubPr>
                <m:e>
                  <m:r>
                    <m:rPr>
                      <m:sty m:val="bi"/>
                    </m:rPr>
                    <w:rPr>
                      <w:rFonts w:ascii="Cambria Math" w:hAnsi="Cambria Math"/>
                      <w:lang w:val="en-GB"/>
                    </w:rPr>
                    <m:t>n</m:t>
                  </m:r>
                </m:e>
                <m:sub>
                  <m:r>
                    <m:rPr>
                      <m:sty m:val="bi"/>
                    </m:rPr>
                    <w:rPr>
                      <w:rFonts w:ascii="Cambria Math" w:hAnsi="Cambria Math"/>
                      <w:lang w:val="en-GB"/>
                    </w:rPr>
                    <m:t>f</m:t>
                  </m:r>
                </m:sub>
              </m:sSub>
              <m:r>
                <m:rPr>
                  <m:sty m:val="b"/>
                </m:rPr>
                <w:rPr>
                  <w:rFonts w:ascii="Cambria Math" w:hAnsi="Cambria Math"/>
                  <w:lang w:val="en-GB"/>
                </w:rPr>
                <m:t>⋅</m:t>
              </m:r>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slot</m:t>
                  </m:r>
                  <m:r>
                    <m:rPr>
                      <m:sty m:val="b"/>
                    </m:rPr>
                    <w:rPr>
                      <w:rFonts w:ascii="Cambria Math" w:hAnsi="Cambria Math"/>
                      <w:lang w:val="en-GB"/>
                    </w:rPr>
                    <m:t xml:space="preserve"> </m:t>
                  </m:r>
                </m:sub>
                <m:sup>
                  <m:r>
                    <m:rPr>
                      <m:sty m:val="bi"/>
                    </m:rPr>
                    <w:rPr>
                      <w:rFonts w:ascii="Cambria Math" w:hAnsi="Cambria Math"/>
                      <w:lang w:val="en-GB"/>
                    </w:rPr>
                    <m:t>frame</m:t>
                  </m:r>
                  <m:r>
                    <m:rPr>
                      <m:sty m:val="b"/>
                    </m:rPr>
                    <w:rPr>
                      <w:rFonts w:ascii="Cambria Math" w:hAnsi="Cambria Math"/>
                      <w:lang w:val="en-GB"/>
                    </w:rPr>
                    <m:t xml:space="preserve">, </m:t>
                  </m:r>
                  <m:r>
                    <m:rPr>
                      <m:sty m:val="bi"/>
                    </m:rPr>
                    <w:rPr>
                      <w:rFonts w:ascii="Cambria Math" w:hAnsi="Cambria Math"/>
                      <w:lang w:val="en-GB"/>
                    </w:rPr>
                    <m:t>μ</m:t>
                  </m:r>
                </m:sup>
              </m:sSubSup>
              <m:r>
                <m:rPr>
                  <m:sty m:val="b"/>
                </m:rPr>
                <w:rPr>
                  <w:rFonts w:ascii="Cambria Math" w:hAnsi="Cambria Math"/>
                  <w:lang w:val="en-GB"/>
                </w:rPr>
                <m:t xml:space="preserve">+ </m:t>
              </m:r>
              <m:sSubSup>
                <m:sSubSupPr>
                  <m:ctrlPr>
                    <w:rPr>
                      <w:rFonts w:ascii="Cambria Math" w:hAnsi="Cambria Math"/>
                      <w:lang w:val="en-GB"/>
                    </w:rPr>
                  </m:ctrlPr>
                </m:sSubSupPr>
                <m:e>
                  <m:r>
                    <m:rPr>
                      <m:sty m:val="bi"/>
                    </m:rPr>
                    <w:rPr>
                      <w:rFonts w:ascii="Cambria Math" w:hAnsi="Cambria Math"/>
                      <w:lang w:val="en-GB"/>
                    </w:rPr>
                    <m:t>n</m:t>
                  </m:r>
                </m:e>
                <m:sub>
                  <m:r>
                    <m:rPr>
                      <m:sty m:val="bi"/>
                    </m:rPr>
                    <w:rPr>
                      <w:rFonts w:ascii="Cambria Math" w:hAnsi="Cambria Math"/>
                      <w:lang w:val="en-GB"/>
                    </w:rPr>
                    <m:t>s</m:t>
                  </m:r>
                  <m:r>
                    <m:rPr>
                      <m:sty m:val="b"/>
                    </m:rPr>
                    <w:rPr>
                      <w:rFonts w:ascii="Cambria Math" w:hAnsi="Cambria Math"/>
                      <w:lang w:val="en-GB"/>
                    </w:rPr>
                    <m:t>,</m:t>
                  </m:r>
                  <m:r>
                    <m:rPr>
                      <m:sty m:val="bi"/>
                    </m:rPr>
                    <w:rPr>
                      <w:rFonts w:ascii="Cambria Math" w:hAnsi="Cambria Math"/>
                      <w:lang w:val="en-GB"/>
                    </w:rPr>
                    <m:t>f</m:t>
                  </m:r>
                  <m:r>
                    <m:rPr>
                      <m:sty m:val="b"/>
                    </m:rPr>
                    <w:rPr>
                      <w:rFonts w:ascii="Cambria Math" w:hAnsi="Cambria Math"/>
                      <w:lang w:val="en-GB"/>
                    </w:rPr>
                    <m:t xml:space="preserve"> </m:t>
                  </m:r>
                </m:sub>
                <m:sup>
                  <m:r>
                    <m:rPr>
                      <m:sty m:val="bi"/>
                    </m:rPr>
                    <w:rPr>
                      <w:rFonts w:ascii="Cambria Math" w:hAnsi="Cambria Math"/>
                      <w:lang w:val="en-GB"/>
                    </w:rPr>
                    <m:t>μ</m:t>
                  </m:r>
                </m:sup>
              </m:sSubSup>
              <m:r>
                <m:rPr>
                  <m:sty m:val="b"/>
                </m:rPr>
                <w:rPr>
                  <w:rFonts w:ascii="Cambria Math" w:hAnsi="Cambria Math"/>
                  <w:lang w:val="en-GB"/>
                </w:rPr>
                <m:t xml:space="preserve">- </m:t>
              </m:r>
              <m:sSub>
                <m:sSubPr>
                  <m:ctrlPr>
                    <w:rPr>
                      <w:rFonts w:ascii="Cambria Math" w:hAnsi="Cambria Math"/>
                      <w:lang w:val="en-GB"/>
                    </w:rPr>
                  </m:ctrlPr>
                </m:sSubPr>
                <m:e>
                  <m:r>
                    <m:rPr>
                      <m:sty m:val="bi"/>
                    </m:rPr>
                    <w:rPr>
                      <w:rFonts w:ascii="Cambria Math" w:hAnsi="Cambria Math"/>
                      <w:lang w:val="en-GB"/>
                    </w:rPr>
                    <m:t>o</m:t>
                  </m:r>
                </m:e>
                <m:sub>
                  <m:r>
                    <m:rPr>
                      <m:sty m:val="bi"/>
                    </m:rPr>
                    <w:rPr>
                      <w:rFonts w:ascii="Cambria Math" w:hAnsi="Cambria Math"/>
                      <w:lang w:val="en-GB"/>
                    </w:rPr>
                    <m:t>s</m:t>
                  </m:r>
                </m:sub>
              </m:sSub>
            </m:e>
          </m:d>
          <m:r>
            <m:rPr>
              <m:sty m:val="b"/>
            </m:rPr>
            <w:rPr>
              <w:rFonts w:ascii="Cambria Math" w:hAnsi="Cambria Math"/>
              <w:lang w:val="en-GB"/>
            </w:rPr>
            <m:t xml:space="preserve"> mod </m:t>
          </m:r>
          <m:sSub>
            <m:sSubPr>
              <m:ctrlPr>
                <w:rPr>
                  <w:rFonts w:ascii="Cambria Math" w:hAnsi="Cambria Math"/>
                  <w:lang w:val="en-GB"/>
                </w:rPr>
              </m:ctrlPr>
            </m:sSubPr>
            <m:e>
              <m:r>
                <m:rPr>
                  <m:sty m:val="bi"/>
                </m:rPr>
                <w:rPr>
                  <w:rFonts w:ascii="Cambria Math" w:hAnsi="Cambria Math"/>
                  <w:lang w:val="en-GB"/>
                </w:rPr>
                <m:t>k</m:t>
              </m:r>
            </m:e>
            <m:sub>
              <m:r>
                <m:rPr>
                  <m:sty m:val="bi"/>
                </m:rPr>
                <w:rPr>
                  <w:rFonts w:ascii="Cambria Math" w:hAnsi="Cambria Math"/>
                  <w:lang w:val="en-GB"/>
                </w:rPr>
                <m:t>s</m:t>
              </m:r>
            </m:sub>
          </m:sSub>
          <m:r>
            <m:rPr>
              <m:sty m:val="b"/>
            </m:rPr>
            <w:rPr>
              <w:rFonts w:ascii="Cambria Math" w:hAnsi="Cambria Math"/>
              <w:lang w:val="en-GB"/>
            </w:rPr>
            <m:t>=</m:t>
          </m:r>
          <m:r>
            <m:rPr>
              <m:sty m:val="bi"/>
            </m:rPr>
            <w:rPr>
              <w:rFonts w:ascii="Cambria Math" w:hAnsi="Cambria Math"/>
              <w:lang w:val="en-GB"/>
            </w:rPr>
            <m:t xml:space="preserve">d, </m:t>
          </m:r>
          <m:r>
            <m:rPr>
              <m:sty m:val="b"/>
            </m:rPr>
            <w:rPr>
              <w:rFonts w:ascii="Cambria Math" w:hAnsi="Cambria Math"/>
              <w:lang w:val="en-GB"/>
            </w:rPr>
            <m:t>for</m:t>
          </m:r>
          <m:r>
            <m:rPr>
              <m:sty m:val="bi"/>
            </m:rPr>
            <w:rPr>
              <w:rFonts w:ascii="Cambria Math" w:hAnsi="Cambria Math"/>
              <w:lang w:val="en-GB"/>
            </w:rPr>
            <m:t xml:space="preserve"> d=0, 1,…, </m:t>
          </m:r>
          <m:sSub>
            <m:sSubPr>
              <m:ctrlPr>
                <w:rPr>
                  <w:rFonts w:ascii="Cambria Math" w:hAnsi="Cambria Math"/>
                  <w:i/>
                  <w:iCs/>
                  <w:lang w:val="en-GB"/>
                </w:rPr>
              </m:ctrlPr>
            </m:sSubPr>
            <m:e>
              <m:r>
                <m:rPr>
                  <m:sty m:val="bi"/>
                </m:rPr>
                <w:rPr>
                  <w:rFonts w:ascii="Cambria Math" w:hAnsi="Cambria Math"/>
                  <w:lang w:val="en-GB"/>
                </w:rPr>
                <m:t>T</m:t>
              </m:r>
            </m:e>
            <m:sub>
              <m:r>
                <m:rPr>
                  <m:sty m:val="bi"/>
                </m:rPr>
                <w:rPr>
                  <w:rFonts w:ascii="Cambria Math" w:hAnsi="Cambria Math"/>
                  <w:lang w:val="en-GB"/>
                </w:rPr>
                <m:t>s</m:t>
              </m:r>
            </m:sub>
          </m:sSub>
          <m:r>
            <m:rPr>
              <m:sty m:val="bi"/>
            </m:rPr>
            <w:rPr>
              <w:rFonts w:ascii="Cambria Math" w:hAnsi="Cambria Math"/>
              <w:lang w:val="en-GB"/>
            </w:rPr>
            <m:t>-1,</m:t>
          </m:r>
          <m:r>
            <m:rPr>
              <m:sty m:val="b"/>
            </m:rPr>
            <w:rPr>
              <w:rFonts w:ascii="Cambria Math" w:eastAsiaTheme="minorEastAsia" w:hAnsi="Cambria Math"/>
              <w:lang w:val="en-GB"/>
            </w:rPr>
            <w:br/>
          </m:r>
        </m:oMath>
      </m:oMathPara>
      <w:r w:rsidRPr="00DA4E42">
        <w:rPr>
          <w:rFonts w:eastAsiaTheme="minorEastAsia"/>
          <w:iCs/>
          <w:lang w:val="en-GB"/>
        </w:rPr>
        <w:t xml:space="preserve">where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k</m:t>
            </m:r>
          </m:e>
          <m:sub>
            <m:r>
              <m:rPr>
                <m:sty m:val="bi"/>
              </m:rPr>
              <w:rPr>
                <w:rFonts w:ascii="Cambria Math" w:eastAsiaTheme="minorEastAsia" w:hAnsi="Cambria Math" w:cs="Arial"/>
                <w:lang w:val="en-GB"/>
              </w:rPr>
              <m:t>s</m:t>
            </m:r>
          </m:sub>
        </m:sSub>
      </m:oMath>
      <w:r w:rsidRPr="00DA4E42">
        <w:rPr>
          <w:rFonts w:eastAsiaTheme="minorEastAsia" w:cs="Arial"/>
          <w:lang w:val="en-GB"/>
        </w:rPr>
        <w:t xml:space="preserve">,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o</m:t>
            </m:r>
          </m:e>
          <m:sub>
            <m:r>
              <m:rPr>
                <m:sty m:val="bi"/>
              </m:rPr>
              <w:rPr>
                <w:rFonts w:ascii="Cambria Math" w:eastAsiaTheme="minorEastAsia" w:hAnsi="Cambria Math" w:cs="Arial"/>
                <w:lang w:val="en-GB"/>
              </w:rPr>
              <m:t>s</m:t>
            </m:r>
          </m:sub>
        </m:sSub>
      </m:oMath>
      <w:r w:rsidRPr="00DA4E42">
        <w:rPr>
          <w:rFonts w:eastAsiaTheme="minorEastAsia" w:cs="Arial"/>
          <w:lang w:val="en-GB"/>
        </w:rPr>
        <w:t xml:space="preserve">, and </w:t>
      </w:r>
      <m:oMath>
        <m:sSub>
          <m:sSubPr>
            <m:ctrlPr>
              <w:rPr>
                <w:rFonts w:ascii="Cambria Math" w:eastAsiaTheme="minorEastAsia" w:hAnsi="Cambria Math" w:cs="Arial"/>
                <w:i/>
                <w:lang w:val="en-GB"/>
              </w:rPr>
            </m:ctrlPr>
          </m:sSubPr>
          <m:e>
            <m:r>
              <m:rPr>
                <m:sty m:val="bi"/>
              </m:rPr>
              <w:rPr>
                <w:rFonts w:ascii="Cambria Math" w:eastAsiaTheme="minorEastAsia" w:hAnsi="Cambria Math" w:cs="Arial"/>
                <w:lang w:val="en-GB"/>
              </w:rPr>
              <m:t>T</m:t>
            </m:r>
          </m:e>
          <m:sub>
            <m:r>
              <m:rPr>
                <m:sty m:val="bi"/>
              </m:rPr>
              <w:rPr>
                <w:rFonts w:ascii="Cambria Math" w:eastAsiaTheme="minorEastAsia" w:hAnsi="Cambria Math" w:cs="Arial"/>
                <w:lang w:val="en-GB"/>
              </w:rPr>
              <m:t>s</m:t>
            </m:r>
          </m:sub>
        </m:sSub>
      </m:oMath>
      <w:r w:rsidRPr="00DA4E42">
        <w:rPr>
          <w:rFonts w:eastAsiaTheme="minorEastAsia" w:cs="Arial"/>
          <w:lang w:val="en-GB"/>
        </w:rPr>
        <w:t xml:space="preserve"> are the configured </w:t>
      </w:r>
      <w:r w:rsidRPr="00DA4E42">
        <w:rPr>
          <w:rFonts w:eastAsia="Calibri" w:cs="Arial"/>
          <w:szCs w:val="20"/>
          <w:lang w:val="en-GB"/>
        </w:rPr>
        <w:t xml:space="preserve">periodicity, offset and duration, respectively, of the search space </w:t>
      </w:r>
      <m:oMath>
        <m:r>
          <m:rPr>
            <m:sty m:val="bi"/>
          </m:rPr>
          <w:rPr>
            <w:rFonts w:ascii="Cambria Math" w:eastAsia="Calibri" w:hAnsi="Cambria Math" w:cs="Arial"/>
            <w:szCs w:val="20"/>
            <w:lang w:val="en-GB"/>
          </w:rPr>
          <m:t>s</m:t>
        </m:r>
      </m:oMath>
      <w:r w:rsidRPr="00DA4E42">
        <w:rPr>
          <w:rFonts w:eastAsia="Calibri" w:cs="Arial"/>
          <w:szCs w:val="20"/>
          <w:lang w:val="en-GB"/>
        </w:rPr>
        <w:t>.</w:t>
      </w:r>
    </w:p>
    <w:p w14:paraId="0699E9F5" w14:textId="77777777" w:rsidR="00DA4E42" w:rsidRPr="00DA4E42" w:rsidRDefault="00DA4E42" w:rsidP="00DA4E42">
      <w:pPr>
        <w:pStyle w:val="Observation"/>
        <w:numPr>
          <w:ilvl w:val="0"/>
          <w:numId w:val="44"/>
        </w:numPr>
        <w:ind w:left="1530" w:hanging="1530"/>
        <w:rPr>
          <w:lang w:val="en-GB"/>
        </w:rPr>
      </w:pPr>
      <w:r>
        <w:lastRenderedPageBreak/>
        <w:t xml:space="preserve">For </w:t>
      </w:r>
      <w:r w:rsidRPr="00DA4E42">
        <w:rPr>
          <w:rFonts w:eastAsiaTheme="minorEastAsia"/>
        </w:rPr>
        <w:t>operation with 480/960 kHz SCS</w:t>
      </w:r>
      <w:r>
        <w:t xml:space="preserve"> </w:t>
      </w:r>
      <w:r w:rsidRPr="00DA4E42">
        <w:rPr>
          <w:lang w:val="en-GB"/>
        </w:rPr>
        <w:t>multi-slot PDCCH monitoring</w:t>
      </w:r>
      <w:r>
        <w:t xml:space="preserve">, </w:t>
      </w:r>
      <w:r w:rsidRPr="00DA4E42">
        <w:rPr>
          <w:rFonts w:eastAsiaTheme="minorEastAsia"/>
          <w:lang w:val="en-GB"/>
        </w:rPr>
        <w:t>common language and understanding is hindered by the required definitions of several offsets and monitoring boundaries, if the discussion starts with fixed X-slot group boundaries.</w:t>
      </w:r>
    </w:p>
    <w:p w14:paraId="3AECE56D" w14:textId="07CEB4A9" w:rsidR="00B63CE6" w:rsidRDefault="00B63CE6" w:rsidP="00394451">
      <w:pPr>
        <w:pStyle w:val="BodyText"/>
      </w:pPr>
    </w:p>
    <w:p w14:paraId="31CCC653" w14:textId="0266C053" w:rsidR="00394451" w:rsidRDefault="00394451" w:rsidP="00394451">
      <w:pPr>
        <w:pStyle w:val="BodyText"/>
      </w:pPr>
      <w:r w:rsidRPr="00CE0424">
        <w:t xml:space="preserve">Based on the discussion in </w:t>
      </w:r>
      <w:r>
        <w:t xml:space="preserve">the previous </w:t>
      </w:r>
      <w:r w:rsidRPr="00CE0424">
        <w:t>section</w:t>
      </w:r>
      <w:r>
        <w:t>s</w:t>
      </w:r>
      <w:r w:rsidRPr="00CE0424">
        <w:t xml:space="preserve"> we propose the following:</w:t>
      </w:r>
    </w:p>
    <w:p w14:paraId="4A7159B8" w14:textId="77777777" w:rsidR="00A63B89" w:rsidRPr="00A63B89" w:rsidRDefault="00A63B89" w:rsidP="00A63B89">
      <w:pPr>
        <w:pStyle w:val="Proposal"/>
        <w:numPr>
          <w:ilvl w:val="0"/>
          <w:numId w:val="45"/>
        </w:numPr>
        <w:overflowPunct w:val="0"/>
        <w:autoSpaceDE w:val="0"/>
        <w:autoSpaceDN w:val="0"/>
        <w:adjustRightInd w:val="0"/>
        <w:spacing w:after="0" w:line="240" w:lineRule="auto"/>
        <w:textAlignment w:val="baseline"/>
        <w:rPr>
          <w:rFonts w:eastAsiaTheme="minorEastAsia"/>
        </w:rPr>
      </w:pPr>
      <w:r w:rsidRPr="00D71B37">
        <w:t xml:space="preserve">For </w:t>
      </w:r>
      <w:r w:rsidRPr="00A63B89">
        <w:rPr>
          <w:rFonts w:eastAsiaTheme="minorEastAsia"/>
        </w:rPr>
        <w:t>operation with 480/960 kHz SCS</w:t>
      </w:r>
      <w:r w:rsidRPr="00D71B37">
        <w:t xml:space="preserve"> </w:t>
      </w:r>
      <w:r w:rsidRPr="00A63B89">
        <w:rPr>
          <w:lang w:val="en-GB" w:eastAsia="ja-JP"/>
        </w:rPr>
        <w:t xml:space="preserve">multi-slot PDCCH monitoring with slot group size of X, </w:t>
      </w:r>
      <w:r w:rsidRPr="00A63B89">
        <w:rPr>
          <w:rFonts w:cs="Arial"/>
          <w:szCs w:val="20"/>
          <w:lang w:val="en-GB" w:eastAsia="ja-JP"/>
        </w:rPr>
        <w:t xml:space="preserve">the UE determines that a slot with index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Pr="00A63B89">
        <w:rPr>
          <w:rFonts w:cs="Arial"/>
          <w:szCs w:val="20"/>
          <w:lang w:val="en-GB" w:eastAsia="ja-JP"/>
        </w:rPr>
        <w:t xml:space="preserve"> in a frame with index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Pr="00A63B89">
        <w:rPr>
          <w:rFonts w:cs="Arial"/>
          <w:szCs w:val="20"/>
          <w:lang w:val="en-GB" w:eastAsia="ja-JP"/>
        </w:rPr>
        <w:t xml:space="preserve"> is the start of a X-slot group if</w:t>
      </w:r>
    </w:p>
    <w:p w14:paraId="798BC461" w14:textId="77777777" w:rsidR="00A63B89" w:rsidRDefault="00415413" w:rsidP="00A63B89">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X=0, </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01F9A398" w14:textId="77777777" w:rsidR="00A63B89" w:rsidRDefault="00A63B89" w:rsidP="00A63B89">
      <w:pPr>
        <w:pStyle w:val="Proposal"/>
        <w:numPr>
          <w:ilvl w:val="0"/>
          <w:numId w:val="0"/>
        </w:numPr>
        <w:tabs>
          <w:tab w:val="clear" w:pos="1701"/>
        </w:tabs>
        <w:overflowPunct w:val="0"/>
        <w:autoSpaceDE w:val="0"/>
        <w:autoSpaceDN w:val="0"/>
        <w:adjustRightInd w:val="0"/>
        <w:spacing w:line="240" w:lineRule="auto"/>
        <w:ind w:left="1354"/>
        <w:textAlignment w:val="baseline"/>
        <w:rPr>
          <w:rFonts w:eastAsiaTheme="minorEastAsia" w:cs="Arial"/>
          <w:lang w:val="en-GB" w:eastAsia="ja-JP"/>
        </w:rPr>
      </w:pPr>
      <w:r>
        <w:rPr>
          <w:rFonts w:eastAsia="Calibri" w:cs="Arial"/>
          <w:lang w:val="en-GB" w:eastAsia="ja-JP"/>
        </w:rPr>
        <w:t xml:space="preserve">where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Pr>
          <w:rFonts w:eastAsia="Calibri" w:cs="Arial"/>
          <w:lang w:val="en-GB" w:eastAsia="ja-JP"/>
        </w:rPr>
        <w:t xml:space="preserve"> is the slot group grid </w:t>
      </w:r>
      <w:proofErr w:type="gramStart"/>
      <w:r>
        <w:rPr>
          <w:rFonts w:eastAsia="Calibri" w:cs="Arial"/>
          <w:lang w:val="en-GB" w:eastAsia="ja-JP"/>
        </w:rPr>
        <w:t>offset.</w:t>
      </w:r>
      <w:proofErr w:type="gramEnd"/>
      <w:r>
        <w:rPr>
          <w:rFonts w:eastAsia="Calibri" w:cs="Arial"/>
          <w:lang w:val="en-GB" w:eastAsia="ja-JP"/>
        </w:rPr>
        <w:t xml:space="preserve"> </w:t>
      </w:r>
      <w:r>
        <w:rPr>
          <w:rFonts w:eastAsia="Calibri" w:cs="Arial"/>
          <w:szCs w:val="20"/>
          <w:lang w:val="en-GB" w:eastAsia="ja-JP"/>
        </w:rPr>
        <w:t xml:space="preserve">With this X-slot group grid definition, the </w:t>
      </w:r>
      <w:r w:rsidRPr="001D40C2">
        <w:rPr>
          <w:rFonts w:eastAsia="Calibri" w:cs="Arial"/>
          <w:szCs w:val="20"/>
          <w:lang w:val="en-GB" w:eastAsia="ja-JP"/>
        </w:rPr>
        <w:t xml:space="preserve">monitoring slot(s) </w:t>
      </w:r>
      <w:r>
        <w:rPr>
          <w:rFonts w:eastAsia="Calibri" w:cs="Arial"/>
          <w:szCs w:val="20"/>
          <w:lang w:val="en-GB" w:eastAsia="ja-JP"/>
        </w:rPr>
        <w:t xml:space="preserve">for all search spaces </w:t>
      </w:r>
      <w:r w:rsidRPr="001D40C2">
        <w:rPr>
          <w:rFonts w:eastAsia="Calibri" w:cs="Arial"/>
          <w:szCs w:val="20"/>
          <w:lang w:val="en-GB" w:eastAsia="ja-JP"/>
        </w:rPr>
        <w:t>are always at the beginning of a slot group</w:t>
      </w:r>
      <w:r>
        <w:rPr>
          <w:rFonts w:eastAsia="Calibri" w:cs="Arial"/>
          <w:szCs w:val="20"/>
          <w:lang w:val="en-GB" w:eastAsia="ja-JP"/>
        </w:rPr>
        <w:t xml:space="preserve"> and back-to-back PDCCH processing overloading is avoided.</w:t>
      </w:r>
    </w:p>
    <w:p w14:paraId="6105B67D" w14:textId="77777777" w:rsidR="00A63B89" w:rsidRDefault="00A63B89" w:rsidP="00A63B89">
      <w:pPr>
        <w:pStyle w:val="Proposal"/>
        <w:overflowPunct w:val="0"/>
        <w:autoSpaceDE w:val="0"/>
        <w:autoSpaceDN w:val="0"/>
        <w:adjustRightInd w:val="0"/>
        <w:spacing w:after="0" w:line="240" w:lineRule="auto"/>
        <w:textAlignment w:val="baseline"/>
        <w:rPr>
          <w:rFonts w:eastAsiaTheme="minorEastAsia"/>
        </w:rPr>
      </w:pPr>
      <w:r w:rsidRPr="00D71B37">
        <w:t xml:space="preserve">For </w:t>
      </w:r>
      <w:r>
        <w:rPr>
          <w:rFonts w:eastAsiaTheme="minorEastAsia"/>
        </w:rPr>
        <w:t>a</w:t>
      </w:r>
      <w:r w:rsidRPr="00D71B37">
        <w:rPr>
          <w:rFonts w:eastAsiaTheme="minorEastAsia"/>
        </w:rPr>
        <w:t xml:space="preserve"> 480/960 kHz SCS</w:t>
      </w:r>
      <w:r w:rsidRPr="00D71B37">
        <w:t xml:space="preserve"> </w:t>
      </w:r>
      <w:r>
        <w:t xml:space="preserve">serving cell operating with </w:t>
      </w:r>
      <w:r w:rsidRPr="00D71B37">
        <w:rPr>
          <w:lang w:val="en-GB" w:eastAsia="ja-JP"/>
        </w:rPr>
        <w:t xml:space="preserve">multi-slot PDCCH monitoring with slot group size of X, </w:t>
      </w:r>
      <w:r w:rsidRPr="00D71B37">
        <w:rPr>
          <w:rFonts w:cs="Arial"/>
          <w:szCs w:val="20"/>
          <w:lang w:val="en-GB" w:eastAsia="ja-JP"/>
        </w:rPr>
        <w:t xml:space="preserve">the </w:t>
      </w:r>
      <w:r>
        <w:rPr>
          <w:rFonts w:cs="Arial"/>
          <w:szCs w:val="20"/>
          <w:lang w:val="en-GB" w:eastAsia="ja-JP"/>
        </w:rPr>
        <w:t>slot group grid offset is determined as</w:t>
      </w:r>
    </w:p>
    <w:p w14:paraId="3336C310" w14:textId="77777777" w:rsidR="00A63B89" w:rsidRPr="0038781A" w:rsidRDefault="00415413" w:rsidP="00A63B89">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m:t>
              </m:r>
            </m:sub>
          </m:sSub>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 </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56E60BA3" w14:textId="77777777" w:rsidR="00A63B89" w:rsidRDefault="00A63B89" w:rsidP="00A63B89">
      <w:pPr>
        <w:pStyle w:val="Proposal"/>
        <w:numPr>
          <w:ilvl w:val="0"/>
          <w:numId w:val="0"/>
        </w:numPr>
        <w:tabs>
          <w:tab w:val="clear" w:pos="1701"/>
        </w:tabs>
        <w:overflowPunct w:val="0"/>
        <w:autoSpaceDE w:val="0"/>
        <w:autoSpaceDN w:val="0"/>
        <w:adjustRightInd w:val="0"/>
        <w:spacing w:line="240" w:lineRule="auto"/>
        <w:ind w:left="1354"/>
        <w:textAlignment w:val="baseline"/>
        <w:rPr>
          <w:rFonts w:eastAsiaTheme="minorEastAsia" w:cs="Arial"/>
          <w:lang w:val="en-GB" w:eastAsia="ja-JP"/>
        </w:rPr>
      </w:pPr>
      <w:r>
        <w:rPr>
          <w:rFonts w:eastAsia="Calibri" w:cs="Arial"/>
          <w:lang w:val="en-GB" w:eastAsia="ja-JP"/>
        </w:rPr>
        <w:t xml:space="preserve">where </w:t>
      </w:r>
      <m:oMath>
        <m:sSub>
          <m:sSubPr>
            <m:ctrlPr>
              <w:rPr>
                <w:rFonts w:ascii="Cambria Math" w:eastAsia="Calibri" w:hAnsi="Cambria Math" w:cs="Arial"/>
                <w:i/>
                <w:lang w:val="en-GB" w:eastAsia="ja-JP"/>
              </w:rPr>
            </m:ctrlPr>
          </m:sSubPr>
          <m:e>
            <m:r>
              <m:rPr>
                <m:sty m:val="bi"/>
              </m:rPr>
              <w:rPr>
                <w:rFonts w:ascii="Cambria Math" w:eastAsia="Calibri" w:hAnsi="Cambria Math" w:cs="Arial"/>
                <w:lang w:val="en-GB" w:eastAsia="ja-JP"/>
              </w:rPr>
              <m:t>n</m:t>
            </m:r>
          </m:e>
          <m:sub>
            <m:r>
              <m:rPr>
                <m:sty m:val="bi"/>
              </m:rPr>
              <w:rPr>
                <w:rFonts w:ascii="Cambria Math" w:eastAsia="Calibri" w:hAnsi="Cambria Math" w:cs="Arial"/>
                <w:lang w:val="en-GB" w:eastAsia="ja-JP"/>
              </w:rPr>
              <m:t>0</m:t>
            </m:r>
          </m:sub>
        </m:sSub>
      </m:oMath>
      <w:r>
        <w:rPr>
          <w:rFonts w:eastAsia="Calibri" w:cs="Arial"/>
          <w:lang w:val="en-GB" w:eastAsia="ja-JP"/>
        </w:rPr>
        <w:t xml:space="preserve"> is the index of the first monitoring slot for the type0 PDCCH on the </w:t>
      </w:r>
      <w:proofErr w:type="spellStart"/>
      <w:r>
        <w:rPr>
          <w:rFonts w:eastAsia="Calibri" w:cs="Arial"/>
          <w:lang w:val="en-GB" w:eastAsia="ja-JP"/>
        </w:rPr>
        <w:t>PCell</w:t>
      </w:r>
      <w:proofErr w:type="spellEnd"/>
      <w:r>
        <w:rPr>
          <w:rFonts w:eastAsia="Calibri" w:cs="Arial"/>
          <w:lang w:val="en-GB" w:eastAsia="ja-JP"/>
        </w:rPr>
        <w:t>/</w:t>
      </w:r>
      <w:proofErr w:type="spellStart"/>
      <w:r>
        <w:rPr>
          <w:rFonts w:eastAsia="Calibri" w:cs="Arial"/>
          <w:lang w:val="en-GB" w:eastAsia="ja-JP"/>
        </w:rPr>
        <w:t>PSCell</w:t>
      </w:r>
      <w:proofErr w:type="spellEnd"/>
      <w:r>
        <w:rPr>
          <w:rFonts w:eastAsia="Calibri" w:cs="Arial"/>
          <w:lang w:val="en-GB" w:eastAsia="ja-JP"/>
        </w:rPr>
        <w:t xml:space="preserve"> if the </w:t>
      </w:r>
      <w:proofErr w:type="spellStart"/>
      <w:r>
        <w:rPr>
          <w:rFonts w:eastAsia="Calibri" w:cs="Arial"/>
          <w:lang w:val="en-GB" w:eastAsia="ja-JP"/>
        </w:rPr>
        <w:t>PCell</w:t>
      </w:r>
      <w:proofErr w:type="spellEnd"/>
      <w:r>
        <w:rPr>
          <w:rFonts w:eastAsia="Calibri" w:cs="Arial"/>
          <w:lang w:val="en-GB" w:eastAsia="ja-JP"/>
        </w:rPr>
        <w:t>/</w:t>
      </w:r>
      <w:proofErr w:type="spellStart"/>
      <w:r>
        <w:rPr>
          <w:rFonts w:eastAsia="Calibri" w:cs="Arial"/>
          <w:lang w:val="en-GB" w:eastAsia="ja-JP"/>
        </w:rPr>
        <w:t>PSCell</w:t>
      </w:r>
      <w:proofErr w:type="spellEnd"/>
      <w:r>
        <w:rPr>
          <w:rFonts w:eastAsia="Calibri" w:cs="Arial"/>
          <w:lang w:val="en-GB" w:eastAsia="ja-JP"/>
        </w:rPr>
        <w:t xml:space="preserve"> operates with multi-slot PDCCH monitoring and </w:t>
      </w:r>
      <m:oMath>
        <m:sSub>
          <m:sSubPr>
            <m:ctrlPr>
              <w:rPr>
                <w:rFonts w:ascii="Cambria Math" w:eastAsia="Calibri" w:hAnsi="Cambria Math" w:cs="Arial"/>
                <w:i/>
                <w:lang w:val="en-GB" w:eastAsia="ja-JP"/>
              </w:rPr>
            </m:ctrlPr>
          </m:sSubPr>
          <m:e>
            <m:r>
              <m:rPr>
                <m:sty m:val="bi"/>
              </m:rPr>
              <w:rPr>
                <w:rFonts w:ascii="Cambria Math" w:eastAsia="Calibri" w:hAnsi="Cambria Math" w:cs="Arial"/>
                <w:lang w:val="en-GB" w:eastAsia="ja-JP"/>
              </w:rPr>
              <m:t>n</m:t>
            </m:r>
          </m:e>
          <m:sub>
            <m:r>
              <m:rPr>
                <m:sty m:val="bi"/>
              </m:rPr>
              <w:rPr>
                <w:rFonts w:ascii="Cambria Math" w:eastAsia="Calibri" w:hAnsi="Cambria Math" w:cs="Arial"/>
                <w:lang w:val="en-GB" w:eastAsia="ja-JP"/>
              </w:rPr>
              <m:t>0</m:t>
            </m:r>
          </m:sub>
        </m:sSub>
        <m:r>
          <m:rPr>
            <m:sty m:val="bi"/>
          </m:rPr>
          <w:rPr>
            <w:rFonts w:ascii="Cambria Math" w:eastAsia="Calibri" w:hAnsi="Cambria Math" w:cs="Arial"/>
            <w:lang w:val="en-GB" w:eastAsia="ja-JP"/>
          </w:rPr>
          <m:t>=0</m:t>
        </m:r>
      </m:oMath>
      <w:r>
        <w:rPr>
          <w:rFonts w:eastAsia="Calibri" w:cs="Arial"/>
          <w:lang w:val="en-GB" w:eastAsia="ja-JP"/>
        </w:rPr>
        <w:t xml:space="preserve"> if the PCell/PSCell does not operate with multi-slot PDCCH monitoring.</w:t>
      </w:r>
    </w:p>
    <w:p w14:paraId="5B4358FF" w14:textId="77777777" w:rsidR="00A63B89" w:rsidRDefault="00A63B89" w:rsidP="00A63B89">
      <w:pPr>
        <w:pStyle w:val="Proposal"/>
        <w:overflowPunct w:val="0"/>
        <w:autoSpaceDE w:val="0"/>
        <w:autoSpaceDN w:val="0"/>
        <w:adjustRightInd w:val="0"/>
        <w:spacing w:after="0" w:line="240" w:lineRule="auto"/>
        <w:textAlignment w:val="baseline"/>
        <w:rPr>
          <w:rFonts w:eastAsiaTheme="minorEastAsia"/>
        </w:rPr>
      </w:pPr>
      <w:r>
        <w:rPr>
          <w:rFonts w:cs="Arial"/>
          <w:szCs w:val="20"/>
          <w:lang w:eastAsia="x-none"/>
        </w:rPr>
        <w:t>For multi-slot PDCCH monitoring with 480/960 kHz SCS, the network configures a search space with at least</w:t>
      </w:r>
      <w:r>
        <w:rPr>
          <w:rFonts w:eastAsiaTheme="minorEastAsia"/>
        </w:rPr>
        <w:t>:</w:t>
      </w:r>
    </w:p>
    <w:p w14:paraId="41BA136A" w14:textId="77777777" w:rsidR="00A63B89" w:rsidRPr="00285D7A" w:rsidRDefault="00A63B89" w:rsidP="00A63B89">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A9596C">
        <w:rPr>
          <w:rFonts w:eastAsia="Calibri" w:cs="Arial"/>
          <w:szCs w:val="20"/>
          <w:lang w:val="en-GB" w:eastAsia="ja-JP"/>
        </w:rPr>
        <w:t>periodicity in terms of X-slot groups</w:t>
      </w:r>
      <w:r>
        <w:rPr>
          <w:rFonts w:eastAsia="Calibri" w:cs="Arial"/>
          <w:szCs w:val="20"/>
          <w:lang w:val="en-GB" w:eastAsia="ja-JP"/>
        </w:rPr>
        <w:t>,</w:t>
      </w:r>
    </w:p>
    <w:p w14:paraId="1A87AF1D" w14:textId="77777777" w:rsidR="00A63B89" w:rsidRPr="00285D7A" w:rsidRDefault="00A63B89" w:rsidP="00A63B89">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A9596C">
        <w:rPr>
          <w:rFonts w:eastAsia="Calibri" w:cs="Arial"/>
          <w:szCs w:val="20"/>
          <w:lang w:val="en-GB" w:eastAsia="ja-JP"/>
        </w:rPr>
        <w:t>offset in terms of X-slot groups within the period</w:t>
      </w:r>
      <w:r>
        <w:rPr>
          <w:rFonts w:eastAsia="Calibri" w:cs="Arial"/>
          <w:szCs w:val="20"/>
          <w:lang w:val="en-GB" w:eastAsia="ja-JP"/>
        </w:rPr>
        <w:t>,</w:t>
      </w:r>
    </w:p>
    <w:p w14:paraId="6255AAB3" w14:textId="77777777" w:rsidR="00A63B89" w:rsidRPr="00F27BA4" w:rsidRDefault="00A63B89" w:rsidP="00A63B89">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A9596C">
        <w:rPr>
          <w:rFonts w:eastAsia="Calibri" w:cs="Arial"/>
          <w:szCs w:val="20"/>
          <w:lang w:val="en-GB" w:eastAsia="ja-JP"/>
        </w:rPr>
        <w:t>duration in terms of X-slot groups within the period</w:t>
      </w:r>
      <w:r>
        <w:rPr>
          <w:rFonts w:eastAsia="Calibri" w:cs="Arial"/>
          <w:szCs w:val="20"/>
          <w:lang w:val="en-GB" w:eastAsia="ja-JP"/>
        </w:rPr>
        <w:t>, and</w:t>
      </w:r>
    </w:p>
    <w:p w14:paraId="0B827397" w14:textId="77777777" w:rsidR="00A63B89" w:rsidRPr="00527D78" w:rsidRDefault="00A63B89" w:rsidP="00A63B89">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proofErr w:type="spellStart"/>
      <w:r w:rsidRPr="00E52AAC">
        <w:rPr>
          <w:rFonts w:eastAsia="Calibri" w:cs="Arial"/>
          <w:i/>
          <w:iCs/>
          <w:szCs w:val="20"/>
          <w:lang w:val="en-GB" w:eastAsia="ja-JP"/>
        </w:rPr>
        <w:t>monitoringSymbolsWithinSlot</w:t>
      </w:r>
      <w:proofErr w:type="spellEnd"/>
      <w:r>
        <w:rPr>
          <w:lang w:val="en-GB" w:eastAsia="ja-JP"/>
        </w:rPr>
        <w:t>.</w:t>
      </w:r>
    </w:p>
    <w:p w14:paraId="2699242D" w14:textId="77777777" w:rsidR="00A63B89" w:rsidRDefault="00A63B89" w:rsidP="00A63B89">
      <w:pPr>
        <w:pStyle w:val="Proposal"/>
        <w:overflowPunct w:val="0"/>
        <w:autoSpaceDE w:val="0"/>
        <w:autoSpaceDN w:val="0"/>
        <w:adjustRightInd w:val="0"/>
        <w:spacing w:after="0" w:line="240" w:lineRule="auto"/>
        <w:textAlignment w:val="baseline"/>
        <w:rPr>
          <w:rFonts w:eastAsiaTheme="minorEastAsia"/>
        </w:rPr>
      </w:pPr>
      <w:r>
        <w:t xml:space="preserve">For </w:t>
      </w:r>
      <w:r w:rsidRPr="00007A27">
        <w:rPr>
          <w:rFonts w:eastAsiaTheme="minorEastAsia"/>
        </w:rPr>
        <w:t>operation with 480/960 kHz SCS</w:t>
      </w:r>
      <w:r>
        <w:rPr>
          <w:rFonts w:eastAsiaTheme="minorEastAsia"/>
        </w:rPr>
        <w:t xml:space="preserve"> </w:t>
      </w:r>
      <w:r w:rsidRPr="00007A27">
        <w:rPr>
          <w:lang w:val="en-GB" w:eastAsia="ja-JP"/>
        </w:rPr>
        <w:t>multi-slot PDCCH monitoring with slot group size of X, existing RRC search space configuration fields</w:t>
      </w:r>
    </w:p>
    <w:p w14:paraId="5C0D8E4A" w14:textId="77777777" w:rsidR="00A63B89" w:rsidRPr="00F27BA4" w:rsidRDefault="00A63B89" w:rsidP="00A63B89">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proofErr w:type="spellStart"/>
      <w:r w:rsidRPr="00007A27">
        <w:rPr>
          <w:rFonts w:cs="Arial"/>
          <w:i/>
          <w:iCs/>
          <w:szCs w:val="20"/>
          <w:lang w:val="en-GB" w:eastAsia="ja-JP"/>
        </w:rPr>
        <w:t>monitoringSlotPeriodicityAndOffset</w:t>
      </w:r>
      <w:proofErr w:type="spellEnd"/>
      <w:r w:rsidRPr="00007A27">
        <w:rPr>
          <w:rFonts w:cs="Arial"/>
          <w:szCs w:val="20"/>
          <w:lang w:val="en-GB" w:eastAsia="ja-JP"/>
        </w:rPr>
        <w:t xml:space="preserve"> is re-interpreted as providing the </w:t>
      </w:r>
      <w:r w:rsidRPr="00007A27">
        <w:rPr>
          <w:rFonts w:eastAsia="Calibri" w:cs="Arial"/>
          <w:szCs w:val="20"/>
          <w:lang w:val="en-GB" w:eastAsia="ja-JP"/>
        </w:rPr>
        <w:t xml:space="preserve">periodicity in terms of X-slot groups and offset in terms of X-slot groups within the </w:t>
      </w:r>
      <w:proofErr w:type="gramStart"/>
      <w:r w:rsidRPr="00007A27">
        <w:rPr>
          <w:rFonts w:eastAsia="Calibri" w:cs="Arial"/>
          <w:szCs w:val="20"/>
          <w:lang w:val="en-GB" w:eastAsia="ja-JP"/>
        </w:rPr>
        <w:t>period;</w:t>
      </w:r>
      <w:proofErr w:type="gramEnd"/>
      <w:r>
        <w:rPr>
          <w:rFonts w:eastAsia="Calibri" w:cs="Arial"/>
          <w:szCs w:val="20"/>
          <w:lang w:val="en-GB" w:eastAsia="ja-JP"/>
        </w:rPr>
        <w:t xml:space="preserve"> </w:t>
      </w:r>
    </w:p>
    <w:p w14:paraId="0F1892B7" w14:textId="77777777" w:rsidR="00A63B89" w:rsidRPr="00527D78" w:rsidRDefault="00A63B89" w:rsidP="00A63B89">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r w:rsidRPr="00007A27">
        <w:rPr>
          <w:rFonts w:eastAsia="Calibri" w:cs="Arial"/>
          <w:i/>
          <w:iCs/>
          <w:szCs w:val="20"/>
          <w:lang w:val="en-GB" w:eastAsia="ja-JP"/>
        </w:rPr>
        <w:t>duration</w:t>
      </w:r>
      <w:r w:rsidRPr="00007A27">
        <w:rPr>
          <w:rFonts w:eastAsia="Calibri" w:cs="Arial"/>
          <w:szCs w:val="20"/>
          <w:lang w:val="en-GB" w:eastAsia="ja-JP"/>
        </w:rPr>
        <w:t xml:space="preserve"> is </w:t>
      </w:r>
      <w:r w:rsidRPr="00007A27">
        <w:rPr>
          <w:rFonts w:cs="Arial"/>
          <w:szCs w:val="20"/>
          <w:lang w:val="en-GB" w:eastAsia="ja-JP"/>
        </w:rPr>
        <w:t xml:space="preserve">re-interpreted as providing the </w:t>
      </w:r>
      <w:r>
        <w:rPr>
          <w:rFonts w:eastAsia="Calibri" w:cs="Arial"/>
          <w:szCs w:val="20"/>
          <w:lang w:val="en-GB" w:eastAsia="ja-JP"/>
        </w:rPr>
        <w:t>duration</w:t>
      </w:r>
      <w:r w:rsidRPr="00007A27">
        <w:rPr>
          <w:rFonts w:eastAsia="Calibri" w:cs="Arial"/>
          <w:szCs w:val="20"/>
          <w:lang w:val="en-GB" w:eastAsia="ja-JP"/>
        </w:rPr>
        <w:t xml:space="preserve"> in terms of X-slot groups within the period</w:t>
      </w:r>
      <w:r>
        <w:rPr>
          <w:lang w:val="en-GB" w:eastAsia="ja-JP"/>
        </w:rPr>
        <w:t>.</w:t>
      </w:r>
    </w:p>
    <w:p w14:paraId="3CC12430" w14:textId="77777777" w:rsidR="00A63B89" w:rsidRDefault="00A63B89" w:rsidP="00A63B89">
      <w:pPr>
        <w:pStyle w:val="Proposal"/>
        <w:overflowPunct w:val="0"/>
        <w:autoSpaceDE w:val="0"/>
        <w:autoSpaceDN w:val="0"/>
        <w:adjustRightInd w:val="0"/>
        <w:spacing w:after="0" w:line="240" w:lineRule="auto"/>
        <w:textAlignment w:val="baseline"/>
        <w:rPr>
          <w:rFonts w:eastAsiaTheme="minorEastAsia"/>
        </w:rPr>
      </w:pPr>
      <w:r w:rsidRPr="009D31AB">
        <w:t xml:space="preserve">For </w:t>
      </w:r>
      <w:r w:rsidRPr="009D31AB">
        <w:rPr>
          <w:rFonts w:eastAsiaTheme="minorEastAsia"/>
        </w:rPr>
        <w:t>operation with 480/960 kHz SCS</w:t>
      </w:r>
      <w:r w:rsidRPr="009D31AB">
        <w:t xml:space="preserve"> </w:t>
      </w:r>
      <w:r w:rsidRPr="009D31AB">
        <w:rPr>
          <w:lang w:val="en-GB" w:eastAsia="ja-JP"/>
        </w:rPr>
        <w:t xml:space="preserve">multi-slot PDCCH monitoring with slot group size of X, </w:t>
      </w:r>
      <w:r w:rsidRPr="009D31AB">
        <w:rPr>
          <w:rFonts w:cs="Arial"/>
          <w:szCs w:val="20"/>
          <w:lang w:val="en-GB" w:eastAsia="ja-JP"/>
        </w:rPr>
        <w:t xml:space="preserve">the UE determines </w:t>
      </w:r>
      <w:r>
        <w:rPr>
          <w:rFonts w:cs="Arial"/>
          <w:szCs w:val="20"/>
          <w:lang w:val="en-GB" w:eastAsia="ja-JP"/>
        </w:rPr>
        <w:t xml:space="preserve">that </w:t>
      </w:r>
      <w:r w:rsidRPr="009D31AB">
        <w:rPr>
          <w:rFonts w:cs="Arial"/>
          <w:szCs w:val="20"/>
          <w:lang w:val="en-GB" w:eastAsia="ja-JP"/>
        </w:rPr>
        <w:t xml:space="preserve">a PDCCH monitoring occasion for search space </w:t>
      </w:r>
      <m:oMath>
        <m:r>
          <m:rPr>
            <m:sty m:val="bi"/>
          </m:rPr>
          <w:rPr>
            <w:rFonts w:ascii="Cambria Math" w:hAnsi="Cambria Math" w:cs="Arial"/>
            <w:szCs w:val="20"/>
            <w:lang w:val="en-GB" w:eastAsia="ja-JP"/>
          </w:rPr>
          <m:t>s</m:t>
        </m:r>
      </m:oMath>
      <w:r w:rsidRPr="009D31AB">
        <w:rPr>
          <w:rFonts w:eastAsiaTheme="minorEastAsia" w:cs="Arial"/>
          <w:szCs w:val="20"/>
          <w:lang w:val="en-GB" w:eastAsia="ja-JP"/>
        </w:rPr>
        <w:t xml:space="preserve"> </w:t>
      </w:r>
      <w:r>
        <w:rPr>
          <w:rFonts w:eastAsiaTheme="minorEastAsia" w:cs="Arial"/>
          <w:szCs w:val="20"/>
          <w:lang w:val="en-GB" w:eastAsia="ja-JP"/>
        </w:rPr>
        <w:t xml:space="preserve">in Group (1) is </w:t>
      </w:r>
      <w:r w:rsidRPr="009D31AB">
        <w:rPr>
          <w:rFonts w:cs="Arial"/>
          <w:szCs w:val="20"/>
          <w:lang w:val="en-GB" w:eastAsia="ja-JP"/>
        </w:rPr>
        <w:t xml:space="preserve">in slot </w:t>
      </w:r>
      <w:r>
        <w:rPr>
          <w:rFonts w:cs="Arial"/>
          <w:szCs w:val="20"/>
          <w:lang w:val="en-GB" w:eastAsia="ja-JP"/>
        </w:rPr>
        <w:t>with index</w:t>
      </w:r>
      <w:r w:rsidRPr="009D31AB">
        <w:rPr>
          <w:rFonts w:cs="Arial"/>
          <w:szCs w:val="20"/>
          <w:lang w:val="en-GB" w:eastAsia="ja-JP"/>
        </w:rPr>
        <w:t xml:space="preserve">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Pr="009D31AB">
        <w:rPr>
          <w:rFonts w:cs="Arial"/>
          <w:szCs w:val="20"/>
          <w:lang w:val="en-GB" w:eastAsia="ja-JP"/>
        </w:rPr>
        <w:t xml:space="preserve"> in a frame with </w:t>
      </w:r>
      <w:r>
        <w:rPr>
          <w:rFonts w:cs="Arial"/>
          <w:szCs w:val="20"/>
          <w:lang w:val="en-GB" w:eastAsia="ja-JP"/>
        </w:rPr>
        <w:t>index</w:t>
      </w:r>
      <w:r w:rsidRPr="009D31AB">
        <w:rPr>
          <w:rFonts w:cs="Arial"/>
          <w:szCs w:val="20"/>
          <w:lang w:val="en-GB" w:eastAsia="ja-JP"/>
        </w:rPr>
        <w:t xml:space="preserve">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Pr="009D31AB">
        <w:rPr>
          <w:rFonts w:cs="Arial"/>
          <w:szCs w:val="20"/>
          <w:lang w:val="en-GB" w:eastAsia="ja-JP"/>
        </w:rPr>
        <w:t xml:space="preserve"> if</w:t>
      </w:r>
    </w:p>
    <w:p w14:paraId="589617A2" w14:textId="77777777" w:rsidR="00A63B89" w:rsidRDefault="00415413" w:rsidP="00A63B89">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 X</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m:t>
          </m:r>
          <m:sSub>
            <m:sSubPr>
              <m:ctrlPr>
                <w:rPr>
                  <w:rFonts w:ascii="Cambria Math" w:hAnsi="Cambria Math"/>
                  <w:i/>
                  <w:lang w:val="en-GB" w:eastAsia="ja-JP"/>
                </w:rPr>
              </m:ctrlPr>
            </m:sSubPr>
            <m:e>
              <m:r>
                <m:rPr>
                  <m:sty m:val="bi"/>
                </m:rPr>
                <w:rPr>
                  <w:rFonts w:ascii="Cambria Math" w:hAnsi="Cambria Math"/>
                  <w:lang w:val="en-GB" w:eastAsia="ja-JP"/>
                </w:rPr>
                <m:t>k</m:t>
              </m:r>
            </m:e>
            <m:sub>
              <m:r>
                <m:rPr>
                  <m:sty m:val="bi"/>
                </m:rPr>
                <w:rPr>
                  <w:rFonts w:ascii="Cambria Math" w:hAnsi="Cambria Math"/>
                  <w:lang w:val="en-GB" w:eastAsia="ja-JP"/>
                </w:rPr>
                <m:t>s</m:t>
              </m:r>
            </m:sub>
          </m:sSub>
          <m:r>
            <m:rPr>
              <m:sty m:val="bi"/>
            </m:rPr>
            <w:rPr>
              <w:rFonts w:ascii="Cambria Math" w:hAnsi="Cambria Math"/>
              <w:lang w:val="en-GB" w:eastAsia="ja-JP"/>
            </w:rPr>
            <m:t xml:space="preserve">=Xd, </m:t>
          </m:r>
          <m:r>
            <m:rPr>
              <m:sty m:val="b"/>
            </m:rPr>
            <w:rPr>
              <w:rFonts w:ascii="Cambria Math" w:hAnsi="Cambria Math"/>
              <w:lang w:val="en-GB" w:eastAsia="ja-JP"/>
            </w:rPr>
            <m:t>for</m:t>
          </m:r>
          <m:r>
            <m:rPr>
              <m:sty m:val="bi"/>
            </m:rPr>
            <w:rPr>
              <w:rFonts w:ascii="Cambria Math" w:hAnsi="Cambria Math"/>
              <w:lang w:val="en-GB" w:eastAsia="ja-JP"/>
            </w:rPr>
            <m:t xml:space="preserve"> d=0, 1,…, </m:t>
          </m:r>
          <m:sSub>
            <m:sSubPr>
              <m:ctrlPr>
                <w:rPr>
                  <w:rFonts w:ascii="Cambria Math" w:hAnsi="Cambria Math"/>
                  <w:i/>
                  <w:lang w:val="en-GB" w:eastAsia="ja-JP"/>
                </w:rPr>
              </m:ctrlPr>
            </m:sSubPr>
            <m:e>
              <m:r>
                <m:rPr>
                  <m:sty m:val="bi"/>
                </m:rPr>
                <w:rPr>
                  <w:rFonts w:ascii="Cambria Math" w:hAnsi="Cambria Math"/>
                  <w:lang w:val="en-GB" w:eastAsia="ja-JP"/>
                </w:rPr>
                <m:t>T</m:t>
              </m:r>
            </m:e>
            <m:sub>
              <m:r>
                <m:rPr>
                  <m:sty m:val="bi"/>
                </m:rPr>
                <w:rPr>
                  <w:rFonts w:ascii="Cambria Math" w:hAnsi="Cambria Math"/>
                  <w:lang w:val="en-GB" w:eastAsia="ja-JP"/>
                </w:rPr>
                <m:t>s</m:t>
              </m:r>
            </m:sub>
          </m:sSub>
          <m:r>
            <m:rPr>
              <m:sty m:val="bi"/>
            </m:rPr>
            <w:rPr>
              <w:rFonts w:ascii="Cambria Math" w:hAnsi="Cambria Math"/>
              <w:lang w:val="en-GB" w:eastAsia="ja-JP"/>
            </w:rPr>
            <m:t>-1,</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111585A9" w14:textId="77777777" w:rsidR="00A63B89" w:rsidRPr="00F27BA4" w:rsidRDefault="00A63B89" w:rsidP="00A63B89">
      <w:pPr>
        <w:pStyle w:val="Proposal"/>
        <w:numPr>
          <w:ilvl w:val="0"/>
          <w:numId w:val="0"/>
        </w:numPr>
        <w:tabs>
          <w:tab w:val="clear" w:pos="1701"/>
        </w:tabs>
        <w:overflowPunct w:val="0"/>
        <w:autoSpaceDE w:val="0"/>
        <w:autoSpaceDN w:val="0"/>
        <w:adjustRightInd w:val="0"/>
        <w:spacing w:line="240" w:lineRule="auto"/>
        <w:ind w:left="1354"/>
        <w:textAlignment w:val="baseline"/>
        <w:rPr>
          <w:rFonts w:eastAsiaTheme="minorEastAsia"/>
        </w:rPr>
      </w:pPr>
      <w:r w:rsidRPr="009D31AB">
        <w:rPr>
          <w:rFonts w:eastAsiaTheme="minorEastAsia" w:cs="Arial"/>
          <w:lang w:val="en-GB" w:eastAsia="ja-JP"/>
        </w:rPr>
        <w:t xml:space="preserve">where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k</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o</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and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T</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are the configured </w:t>
      </w:r>
      <w:r w:rsidRPr="009D31AB">
        <w:rPr>
          <w:rFonts w:eastAsia="Calibri" w:cs="Arial"/>
          <w:szCs w:val="20"/>
          <w:lang w:val="en-GB" w:eastAsia="ja-JP"/>
        </w:rPr>
        <w:t xml:space="preserve">periodicity, offset and duration of the search space </w:t>
      </w:r>
      <m:oMath>
        <m:r>
          <m:rPr>
            <m:sty m:val="bi"/>
          </m:rPr>
          <w:rPr>
            <w:rFonts w:ascii="Cambria Math" w:eastAsia="Calibri" w:hAnsi="Cambria Math" w:cs="Arial"/>
            <w:szCs w:val="20"/>
            <w:lang w:val="en-GB" w:eastAsia="ja-JP"/>
          </w:rPr>
          <m:t>s</m:t>
        </m:r>
      </m:oMath>
      <w:r w:rsidRPr="009D31AB">
        <w:rPr>
          <w:rFonts w:eastAsia="Calibri" w:cs="Arial"/>
          <w:szCs w:val="20"/>
          <w:lang w:val="en-GB" w:eastAsia="ja-JP"/>
        </w:rPr>
        <w:t xml:space="preserve"> in terms of X-slot groups</w:t>
      </w:r>
      <w:r>
        <w:rPr>
          <w:rFonts w:eastAsia="Calibri" w:cs="Arial"/>
          <w:szCs w:val="20"/>
          <w:lang w:val="en-GB" w:eastAsia="ja-JP"/>
        </w:rPr>
        <w:t xml:space="preserve">, and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Pr>
          <w:rFonts w:eastAsia="Calibri" w:cs="Arial"/>
          <w:lang w:val="en-GB" w:eastAsia="ja-JP"/>
        </w:rPr>
        <w:t xml:space="preserve"> is the slot group grid offset.</w:t>
      </w:r>
      <w:r>
        <w:rPr>
          <w:rFonts w:eastAsia="Calibri" w:cs="Arial"/>
          <w:szCs w:val="20"/>
          <w:lang w:val="en-GB" w:eastAsia="ja-JP"/>
        </w:rPr>
        <w:t xml:space="preserve"> </w:t>
      </w:r>
    </w:p>
    <w:p w14:paraId="59BF4635" w14:textId="77777777" w:rsidR="00BA3D0F" w:rsidRDefault="00BA3D0F" w:rsidP="00BA3D0F">
      <w:pPr>
        <w:pStyle w:val="Proposal"/>
        <w:overflowPunct w:val="0"/>
        <w:autoSpaceDE w:val="0"/>
        <w:autoSpaceDN w:val="0"/>
        <w:adjustRightInd w:val="0"/>
        <w:spacing w:after="0" w:line="240" w:lineRule="auto"/>
        <w:textAlignment w:val="baseline"/>
        <w:rPr>
          <w:rFonts w:eastAsiaTheme="minorEastAsia"/>
        </w:rPr>
      </w:pPr>
      <w:r>
        <w:t>If Y</w:t>
      </w:r>
      <w:r w:rsidRPr="00501383">
        <w:rPr>
          <w:vertAlign w:val="subscript"/>
        </w:rPr>
        <w:t>group1</w:t>
      </w:r>
      <w:r>
        <w:t xml:space="preserve"> </w:t>
      </w:r>
      <w:r>
        <w:rPr>
          <w:rFonts w:ascii="Cambria Math" w:hAnsi="Cambria Math"/>
        </w:rPr>
        <w:t xml:space="preserve">≥ </w:t>
      </w:r>
      <w:r>
        <w:t>2, f</w:t>
      </w:r>
      <w:r w:rsidRPr="009D31AB">
        <w:t xml:space="preserve">or </w:t>
      </w:r>
      <w:r w:rsidRPr="009D31AB">
        <w:rPr>
          <w:rFonts w:eastAsiaTheme="minorEastAsia"/>
        </w:rPr>
        <w:t>operation with 480/960 kHz SCS</w:t>
      </w:r>
      <w:r w:rsidRPr="009D31AB">
        <w:t xml:space="preserve"> </w:t>
      </w:r>
      <w:r w:rsidRPr="009D31AB">
        <w:rPr>
          <w:lang w:val="en-GB" w:eastAsia="ja-JP"/>
        </w:rPr>
        <w:t xml:space="preserve">multi-slot PDCCH monitoring with slot group size of X, </w:t>
      </w:r>
      <w:r>
        <w:rPr>
          <w:lang w:val="en-GB" w:eastAsia="ja-JP"/>
        </w:rPr>
        <w:t xml:space="preserve">if the UE is provided with a configuration of an additional slot offset within a slot group, </w:t>
      </w:r>
      <m:oMath>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s,X</m:t>
            </m:r>
          </m:sub>
        </m:sSub>
      </m:oMath>
      <w:r>
        <w:rPr>
          <w:lang w:val="en-GB" w:eastAsia="ja-JP"/>
        </w:rPr>
        <w:t xml:space="preserve">, for a search space </w:t>
      </w:r>
      <m:oMath>
        <m:r>
          <m:rPr>
            <m:sty m:val="bi"/>
          </m:rPr>
          <w:rPr>
            <w:rFonts w:ascii="Cambria Math" w:hAnsi="Cambria Math"/>
            <w:lang w:val="en-GB" w:eastAsia="ja-JP"/>
          </w:rPr>
          <m:t>s</m:t>
        </m:r>
      </m:oMath>
      <w:r>
        <w:rPr>
          <w:rFonts w:eastAsiaTheme="minorEastAsia"/>
          <w:lang w:val="en-GB" w:eastAsia="ja-JP"/>
        </w:rPr>
        <w:t xml:space="preserve">, </w:t>
      </w:r>
      <w:r w:rsidRPr="009D31AB">
        <w:rPr>
          <w:rFonts w:cs="Arial"/>
          <w:szCs w:val="20"/>
          <w:lang w:val="en-GB" w:eastAsia="ja-JP"/>
        </w:rPr>
        <w:t xml:space="preserve">the UE determines </w:t>
      </w:r>
      <w:r>
        <w:rPr>
          <w:rFonts w:cs="Arial"/>
          <w:szCs w:val="20"/>
          <w:lang w:val="en-GB" w:eastAsia="ja-JP"/>
        </w:rPr>
        <w:t xml:space="preserve">that </w:t>
      </w:r>
      <w:r w:rsidRPr="009D31AB">
        <w:rPr>
          <w:rFonts w:cs="Arial"/>
          <w:szCs w:val="20"/>
          <w:lang w:val="en-GB" w:eastAsia="ja-JP"/>
        </w:rPr>
        <w:t xml:space="preserve">a PDCCH monitoring occasion for search space </w:t>
      </w:r>
      <m:oMath>
        <m:r>
          <m:rPr>
            <m:sty m:val="bi"/>
          </m:rPr>
          <w:rPr>
            <w:rFonts w:ascii="Cambria Math" w:hAnsi="Cambria Math" w:cs="Arial"/>
            <w:szCs w:val="20"/>
            <w:lang w:val="en-GB" w:eastAsia="ja-JP"/>
          </w:rPr>
          <m:t>s</m:t>
        </m:r>
      </m:oMath>
      <w:r w:rsidRPr="009D31AB">
        <w:rPr>
          <w:rFonts w:eastAsiaTheme="minorEastAsia" w:cs="Arial"/>
          <w:szCs w:val="20"/>
          <w:lang w:val="en-GB" w:eastAsia="ja-JP"/>
        </w:rPr>
        <w:t xml:space="preserve"> </w:t>
      </w:r>
      <w:r>
        <w:rPr>
          <w:rFonts w:eastAsiaTheme="minorEastAsia" w:cs="Arial"/>
          <w:szCs w:val="20"/>
          <w:lang w:val="en-GB" w:eastAsia="ja-JP"/>
        </w:rPr>
        <w:t xml:space="preserve">in Group (1) is </w:t>
      </w:r>
      <w:r w:rsidRPr="009D31AB">
        <w:rPr>
          <w:rFonts w:cs="Arial"/>
          <w:szCs w:val="20"/>
          <w:lang w:val="en-GB" w:eastAsia="ja-JP"/>
        </w:rPr>
        <w:t xml:space="preserve">in slot </w:t>
      </w:r>
      <w:r>
        <w:rPr>
          <w:rFonts w:cs="Arial"/>
          <w:szCs w:val="20"/>
          <w:lang w:val="en-GB" w:eastAsia="ja-JP"/>
        </w:rPr>
        <w:t>with index</w:t>
      </w:r>
      <w:r w:rsidRPr="009D31AB">
        <w:rPr>
          <w:rFonts w:cs="Arial"/>
          <w:szCs w:val="20"/>
          <w:lang w:val="en-GB" w:eastAsia="ja-JP"/>
        </w:rPr>
        <w:t xml:space="preserve"> </w:t>
      </w:r>
      <m:oMath>
        <m:sSubSup>
          <m:sSubSupPr>
            <m:ctrlPr>
              <w:rPr>
                <w:rFonts w:ascii="Cambria Math" w:hAnsi="Cambria Math" w:cs="Arial"/>
                <w:szCs w:val="20"/>
                <w:lang w:val="en-GB" w:eastAsia="ja-JP"/>
              </w:rPr>
            </m:ctrlPr>
          </m:sSubSup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s</m:t>
            </m:r>
            <m:r>
              <m:rPr>
                <m:sty m:val="b"/>
              </m:rPr>
              <w:rPr>
                <w:rFonts w:ascii="Cambria Math" w:hAnsi="Cambria Math" w:cs="Arial"/>
                <w:szCs w:val="20"/>
                <w:lang w:val="en-GB" w:eastAsia="ja-JP"/>
              </w:rPr>
              <m:t>,</m:t>
            </m:r>
            <m:r>
              <m:rPr>
                <m:sty m:val="bi"/>
              </m:rPr>
              <w:rPr>
                <w:rFonts w:ascii="Cambria Math" w:hAnsi="Cambria Math" w:cs="Arial"/>
                <w:szCs w:val="20"/>
                <w:lang w:val="en-GB" w:eastAsia="ja-JP"/>
              </w:rPr>
              <m:t>f</m:t>
            </m:r>
          </m:sub>
          <m:sup>
            <m:r>
              <m:rPr>
                <m:sty m:val="bi"/>
              </m:rPr>
              <w:rPr>
                <w:rFonts w:ascii="Cambria Math" w:hAnsi="Cambria Math" w:cs="Arial"/>
                <w:szCs w:val="20"/>
                <w:lang w:val="en-GB" w:eastAsia="ja-JP"/>
              </w:rPr>
              <m:t>μ</m:t>
            </m:r>
          </m:sup>
        </m:sSubSup>
      </m:oMath>
      <w:r w:rsidRPr="009D31AB">
        <w:rPr>
          <w:rFonts w:cs="Arial"/>
          <w:szCs w:val="20"/>
          <w:lang w:val="en-GB" w:eastAsia="ja-JP"/>
        </w:rPr>
        <w:t xml:space="preserve"> in a frame with </w:t>
      </w:r>
      <w:r>
        <w:rPr>
          <w:rFonts w:cs="Arial"/>
          <w:szCs w:val="20"/>
          <w:lang w:val="en-GB" w:eastAsia="ja-JP"/>
        </w:rPr>
        <w:t>index</w:t>
      </w:r>
      <w:r w:rsidRPr="009D31AB">
        <w:rPr>
          <w:rFonts w:cs="Arial"/>
          <w:szCs w:val="20"/>
          <w:lang w:val="en-GB" w:eastAsia="ja-JP"/>
        </w:rPr>
        <w:t xml:space="preserve"> </w:t>
      </w:r>
      <m:oMath>
        <m:sSub>
          <m:sSubPr>
            <m:ctrlPr>
              <w:rPr>
                <w:rFonts w:ascii="Cambria Math" w:hAnsi="Cambria Math" w:cs="Arial"/>
                <w:szCs w:val="20"/>
                <w:lang w:val="en-GB" w:eastAsia="ja-JP"/>
              </w:rPr>
            </m:ctrlPr>
          </m:sSubPr>
          <m:e>
            <m:r>
              <m:rPr>
                <m:sty m:val="bi"/>
              </m:rPr>
              <w:rPr>
                <w:rFonts w:ascii="Cambria Math" w:hAnsi="Cambria Math" w:cs="Arial"/>
                <w:szCs w:val="20"/>
                <w:lang w:val="en-GB" w:eastAsia="ja-JP"/>
              </w:rPr>
              <m:t>n</m:t>
            </m:r>
          </m:e>
          <m:sub>
            <m:r>
              <m:rPr>
                <m:sty m:val="bi"/>
              </m:rPr>
              <w:rPr>
                <w:rFonts w:ascii="Cambria Math" w:hAnsi="Cambria Math" w:cs="Arial"/>
                <w:szCs w:val="20"/>
                <w:lang w:val="en-GB" w:eastAsia="ja-JP"/>
              </w:rPr>
              <m:t>f</m:t>
            </m:r>
          </m:sub>
        </m:sSub>
      </m:oMath>
      <w:r w:rsidRPr="009D31AB">
        <w:rPr>
          <w:rFonts w:cs="Arial"/>
          <w:szCs w:val="20"/>
          <w:lang w:val="en-GB" w:eastAsia="ja-JP"/>
        </w:rPr>
        <w:t xml:space="preserve"> if</w:t>
      </w:r>
    </w:p>
    <w:p w14:paraId="19F551BF" w14:textId="77777777" w:rsidR="00BA3D0F" w:rsidRDefault="00415413" w:rsidP="00BA3D0F">
      <w:pPr>
        <w:pStyle w:val="Proposal"/>
        <w:numPr>
          <w:ilvl w:val="0"/>
          <w:numId w:val="0"/>
        </w:numPr>
        <w:tabs>
          <w:tab w:val="clear" w:pos="1701"/>
        </w:tabs>
        <w:overflowPunct w:val="0"/>
        <w:autoSpaceDE w:val="0"/>
        <w:autoSpaceDN w:val="0"/>
        <w:adjustRightInd w:val="0"/>
        <w:spacing w:after="0" w:line="240" w:lineRule="auto"/>
        <w:ind w:left="1350"/>
        <w:textAlignment w:val="baseline"/>
        <w:rPr>
          <w:rFonts w:cs="Arial"/>
          <w:i/>
          <w:iCs/>
          <w:szCs w:val="20"/>
          <w:lang w:val="en-GB" w:eastAsia="ja-JP"/>
        </w:rPr>
      </w:pPr>
      <m:oMathPara>
        <m:oMath>
          <m:d>
            <m:dPr>
              <m:ctrlPr>
                <w:rPr>
                  <w:rFonts w:ascii="Cambria Math" w:hAnsi="Cambria Math"/>
                  <w:i/>
                  <w:lang w:val="en-GB" w:eastAsia="ja-JP"/>
                </w:rPr>
              </m:ctrlPr>
            </m:dPr>
            <m:e>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f</m:t>
                  </m:r>
                </m:sub>
              </m:sSub>
              <m:r>
                <m:rPr>
                  <m:sty m:val="bi"/>
                </m:rPr>
                <w:rPr>
                  <w:rFonts w:ascii="Cambria Math" w:hAnsi="Cambria Math"/>
                  <w:lang w:val="en-GB" w:eastAsia="ja-JP"/>
                </w:rPr>
                <m:t>⋅</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slot </m:t>
                  </m:r>
                </m:sub>
                <m:sup>
                  <m:r>
                    <m:rPr>
                      <m:sty m:val="bi"/>
                    </m:rPr>
                    <w:rPr>
                      <w:rFonts w:ascii="Cambria Math" w:hAnsi="Cambria Math"/>
                      <w:lang w:val="en-GB" w:eastAsia="ja-JP"/>
                    </w:rPr>
                    <m:t>frame, μ</m:t>
                  </m:r>
                </m:sup>
              </m:sSubSup>
              <m:r>
                <m:rPr>
                  <m:sty m:val="bi"/>
                </m:rPr>
                <w:rPr>
                  <w:rFonts w:ascii="Cambria Math" w:hAnsi="Cambria Math"/>
                  <w:lang w:val="en-GB" w:eastAsia="ja-JP"/>
                </w:rPr>
                <m:t xml:space="preserve">+ </m:t>
              </m:r>
              <m:sSubSup>
                <m:sSubSupPr>
                  <m:ctrlPr>
                    <w:rPr>
                      <w:rFonts w:ascii="Cambria Math" w:hAnsi="Cambria Math"/>
                      <w:i/>
                      <w:lang w:val="en-GB" w:eastAsia="ja-JP"/>
                    </w:rPr>
                  </m:ctrlPr>
                </m:sSubSupPr>
                <m:e>
                  <m:r>
                    <m:rPr>
                      <m:sty m:val="bi"/>
                    </m:rPr>
                    <w:rPr>
                      <w:rFonts w:ascii="Cambria Math" w:hAnsi="Cambria Math"/>
                      <w:lang w:val="en-GB" w:eastAsia="ja-JP"/>
                    </w:rPr>
                    <m:t>n</m:t>
                  </m:r>
                </m:e>
                <m:sub>
                  <m:r>
                    <m:rPr>
                      <m:sty m:val="bi"/>
                    </m:rPr>
                    <w:rPr>
                      <w:rFonts w:ascii="Cambria Math" w:hAnsi="Cambria Math"/>
                      <w:lang w:val="en-GB" w:eastAsia="ja-JP"/>
                    </w:rPr>
                    <m:t xml:space="preserve">s,f </m:t>
                  </m:r>
                </m:sub>
                <m:sup>
                  <m:r>
                    <m:rPr>
                      <m:sty m:val="bi"/>
                    </m:rPr>
                    <w:rPr>
                      <w:rFonts w:ascii="Cambria Math" w:hAnsi="Cambria Math"/>
                      <w:lang w:val="en-GB" w:eastAsia="ja-JP"/>
                    </w:rPr>
                    <m:t>μ</m:t>
                  </m:r>
                </m:sup>
              </m:sSubSup>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r>
                <m:rPr>
                  <m:sty m:val="bi"/>
                </m:rP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s,X</m:t>
                  </m:r>
                </m:sub>
              </m:sSub>
              <m:r>
                <m:rPr>
                  <m:sty m:val="bi"/>
                </m:rPr>
                <w:rPr>
                  <w:rFonts w:ascii="Cambria Math" w:hAnsi="Cambria Math"/>
                  <w:lang w:val="en-GB" w:eastAsia="ja-JP"/>
                </w:rPr>
                <m:t>- X</m:t>
              </m:r>
              <m:sSub>
                <m:sSubPr>
                  <m:ctrlPr>
                    <w:rPr>
                      <w:rFonts w:ascii="Cambria Math" w:hAnsi="Cambria Math"/>
                      <w:i/>
                      <w:lang w:val="en-GB" w:eastAsia="ja-JP"/>
                    </w:rPr>
                  </m:ctrlPr>
                </m:sSubPr>
                <m:e>
                  <m:r>
                    <m:rPr>
                      <m:sty m:val="bi"/>
                    </m:rPr>
                    <w:rPr>
                      <w:rFonts w:ascii="Cambria Math" w:hAnsi="Cambria Math"/>
                      <w:lang w:val="en-GB" w:eastAsia="ja-JP"/>
                    </w:rPr>
                    <m:t>o</m:t>
                  </m:r>
                </m:e>
                <m:sub>
                  <m:r>
                    <m:rPr>
                      <m:sty m:val="bi"/>
                    </m:rPr>
                    <w:rPr>
                      <w:rFonts w:ascii="Cambria Math" w:hAnsi="Cambria Math"/>
                      <w:lang w:val="en-GB" w:eastAsia="ja-JP"/>
                    </w:rPr>
                    <m:t>s</m:t>
                  </m:r>
                </m:sub>
              </m:sSub>
            </m:e>
          </m:d>
          <m:r>
            <m:rPr>
              <m:sty m:val="bi"/>
            </m:rPr>
            <w:rPr>
              <w:rFonts w:ascii="Cambria Math" w:hAnsi="Cambria Math"/>
              <w:lang w:val="en-GB" w:eastAsia="ja-JP"/>
            </w:rPr>
            <m:t xml:space="preserve"> </m:t>
          </m:r>
          <m:r>
            <m:rPr>
              <m:sty m:val="b"/>
            </m:rPr>
            <w:rPr>
              <w:rFonts w:ascii="Cambria Math" w:hAnsi="Cambria Math"/>
              <w:lang w:val="en-GB" w:eastAsia="ja-JP"/>
            </w:rPr>
            <m:t>mod</m:t>
          </m:r>
          <m:r>
            <m:rPr>
              <m:sty m:val="bi"/>
            </m:rPr>
            <w:rPr>
              <w:rFonts w:ascii="Cambria Math" w:hAnsi="Cambria Math"/>
              <w:lang w:val="en-GB" w:eastAsia="ja-JP"/>
            </w:rPr>
            <m:t xml:space="preserve"> X</m:t>
          </m:r>
          <m:sSub>
            <m:sSubPr>
              <m:ctrlPr>
                <w:rPr>
                  <w:rFonts w:ascii="Cambria Math" w:hAnsi="Cambria Math"/>
                  <w:i/>
                  <w:lang w:val="en-GB" w:eastAsia="ja-JP"/>
                </w:rPr>
              </m:ctrlPr>
            </m:sSubPr>
            <m:e>
              <m:r>
                <m:rPr>
                  <m:sty m:val="bi"/>
                </m:rPr>
                <w:rPr>
                  <w:rFonts w:ascii="Cambria Math" w:hAnsi="Cambria Math"/>
                  <w:lang w:val="en-GB" w:eastAsia="ja-JP"/>
                </w:rPr>
                <m:t>k</m:t>
              </m:r>
            </m:e>
            <m:sub>
              <m:r>
                <m:rPr>
                  <m:sty m:val="bi"/>
                </m:rPr>
                <w:rPr>
                  <w:rFonts w:ascii="Cambria Math" w:hAnsi="Cambria Math"/>
                  <w:lang w:val="en-GB" w:eastAsia="ja-JP"/>
                </w:rPr>
                <m:t>s</m:t>
              </m:r>
            </m:sub>
          </m:sSub>
          <m:r>
            <m:rPr>
              <m:sty m:val="bi"/>
            </m:rPr>
            <w:rPr>
              <w:rFonts w:ascii="Cambria Math" w:hAnsi="Cambria Math"/>
              <w:lang w:val="en-GB" w:eastAsia="ja-JP"/>
            </w:rPr>
            <m:t xml:space="preserve">=Xd, </m:t>
          </m:r>
          <m:r>
            <m:rPr>
              <m:sty m:val="b"/>
            </m:rPr>
            <w:rPr>
              <w:rFonts w:ascii="Cambria Math" w:hAnsi="Cambria Math"/>
              <w:lang w:val="en-GB" w:eastAsia="ja-JP"/>
            </w:rPr>
            <m:t>for</m:t>
          </m:r>
          <m:r>
            <m:rPr>
              <m:sty m:val="bi"/>
            </m:rPr>
            <w:rPr>
              <w:rFonts w:ascii="Cambria Math" w:hAnsi="Cambria Math"/>
              <w:lang w:val="en-GB" w:eastAsia="ja-JP"/>
            </w:rPr>
            <m:t xml:space="preserve"> d=0, 1,…, </m:t>
          </m:r>
          <m:sSub>
            <m:sSubPr>
              <m:ctrlPr>
                <w:rPr>
                  <w:rFonts w:ascii="Cambria Math" w:hAnsi="Cambria Math"/>
                  <w:i/>
                  <w:lang w:val="en-GB" w:eastAsia="ja-JP"/>
                </w:rPr>
              </m:ctrlPr>
            </m:sSubPr>
            <m:e>
              <m:r>
                <m:rPr>
                  <m:sty m:val="bi"/>
                </m:rPr>
                <w:rPr>
                  <w:rFonts w:ascii="Cambria Math" w:hAnsi="Cambria Math"/>
                  <w:lang w:val="en-GB" w:eastAsia="ja-JP"/>
                </w:rPr>
                <m:t>T</m:t>
              </m:r>
            </m:e>
            <m:sub>
              <m:r>
                <m:rPr>
                  <m:sty m:val="bi"/>
                </m:rPr>
                <w:rPr>
                  <w:rFonts w:ascii="Cambria Math" w:hAnsi="Cambria Math"/>
                  <w:lang w:val="en-GB" w:eastAsia="ja-JP"/>
                </w:rPr>
                <m:t>s</m:t>
              </m:r>
            </m:sub>
          </m:sSub>
          <m:r>
            <m:rPr>
              <m:sty m:val="bi"/>
            </m:rPr>
            <w:rPr>
              <w:rFonts w:ascii="Cambria Math" w:hAnsi="Cambria Math"/>
              <w:lang w:val="en-GB" w:eastAsia="ja-JP"/>
            </w:rPr>
            <m:t>-1,</m:t>
          </m:r>
          <m:r>
            <m:rPr>
              <m:sty m:val="bi"/>
            </m:rPr>
            <w:rPr>
              <w:rFonts w:ascii="Cambria Math" w:hAnsi="Cambria Math"/>
              <w:i/>
              <w:lang w:val="en-GB" w:eastAsia="ja-JP"/>
            </w:rPr>
            <w:fldChar w:fldCharType="begin"/>
          </m:r>
          <m:r>
            <m:rPr>
              <m:sty m:val="b"/>
            </m:rPr>
            <w:rPr>
              <w:rFonts w:ascii="Cambria Math" w:hAnsi="Cambria Math"/>
              <w:lang w:val="en-GB" w:eastAsia="ja-JP"/>
            </w:rPr>
            <m:t xml:space="preserve"> QUOTE </m:t>
          </m:r>
          <m:d>
            <m:dPr>
              <m:ctrlPr>
                <w:rPr>
                  <w:rFonts w:ascii="Cambria Math" w:hAnsi="Cambria Math"/>
                  <w:i/>
                  <w:lang w:val="en-GB" w:eastAsia="ja-JP"/>
                </w:rPr>
              </m:ctrlPr>
            </m:dPr>
            <m:e>
              <m:sSub>
                <m:sSubPr>
                  <m:ctrlPr>
                    <w:rPr>
                      <w:rFonts w:ascii="Cambria Math" w:hAnsi="Cambria Math"/>
                      <w:i/>
                      <w:lang w:val="en-GB" w:eastAsia="ja-JP"/>
                    </w:rPr>
                  </m:ctrlPr>
                </m:sSubPr>
                <m:e>
                  <m:r>
                    <m:rPr>
                      <m:sty m:val="b"/>
                    </m:rPr>
                    <w:rPr>
                      <w:rFonts w:ascii="Cambria Math" w:hAnsi="Cambria Math"/>
                      <w:lang w:val="en-GB" w:eastAsia="ja-JP"/>
                    </w:rPr>
                    <m:t>n</m:t>
                  </m:r>
                </m:e>
                <m:sub>
                  <m:r>
                    <m:rPr>
                      <m:sty m:val="b"/>
                    </m:rPr>
                    <w:rPr>
                      <w:rFonts w:ascii="Cambria Math" w:hAnsi="Cambria Math"/>
                      <w:lang w:val="en-GB" w:eastAsia="ja-JP"/>
                    </w:rPr>
                    <m:t>f</m:t>
                  </m:r>
                </m:sub>
              </m:sSub>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slot</m:t>
                  </m:r>
                </m:sub>
                <m:sup>
                  <m:r>
                    <m:rPr>
                      <m:sty m:val="b"/>
                    </m:rPr>
                    <w:rPr>
                      <w:rFonts w:ascii="Cambria Math" w:hAnsi="Cambria Math"/>
                      <w:lang w:val="en-GB" w:eastAsia="ja-JP"/>
                    </w:rPr>
                    <m:t>frame,μ</m:t>
                  </m:r>
                </m:sup>
              </m:sSubSup>
              <m:r>
                <m:rPr>
                  <m:sty m:val="b"/>
                </m:rPr>
                <w:rPr>
                  <w:rFonts w:ascii="Cambria Math" w:hAnsi="Cambria Math"/>
                  <w:lang w:val="en-GB" w:eastAsia="ja-JP"/>
                </w:rPr>
                <m:t>+</m:t>
              </m:r>
              <m:sSubSup>
                <m:sSubSupPr>
                  <m:ctrlPr>
                    <w:rPr>
                      <w:rFonts w:ascii="Cambria Math" w:hAnsi="Cambria Math"/>
                      <w:i/>
                      <w:lang w:val="en-GB" w:eastAsia="ja-JP"/>
                    </w:rPr>
                  </m:ctrlPr>
                </m:sSubSupPr>
                <m:e>
                  <m:r>
                    <m:rPr>
                      <m:sty m:val="b"/>
                    </m:rPr>
                    <w:rPr>
                      <w:rFonts w:ascii="Cambria Math" w:hAnsi="Cambria Math"/>
                      <w:lang w:val="en-GB" w:eastAsia="ja-JP"/>
                    </w:rPr>
                    <m:t>n</m:t>
                  </m:r>
                </m:e>
                <m:sub>
                  <m:r>
                    <m:rPr>
                      <m:sty m:val="b"/>
                    </m:rPr>
                    <w:rPr>
                      <w:rFonts w:ascii="Cambria Math" w:hAnsi="Cambria Math"/>
                      <w:lang w:val="en-GB" w:eastAsia="ja-JP"/>
                    </w:rPr>
                    <m:t>s,f</m:t>
                  </m:r>
                </m:sub>
                <m:sup>
                  <m:r>
                    <m:rPr>
                      <m:sty m:val="b"/>
                    </m:rPr>
                    <w:rPr>
                      <w:rFonts w:ascii="Cambria Math" w:hAnsi="Cambria Math"/>
                      <w:lang w:val="en-GB" w:eastAsia="ja-JP"/>
                    </w:rPr>
                    <m:t>μ</m:t>
                  </m:r>
                </m:sup>
              </m:sSubSup>
              <m:r>
                <m:rPr>
                  <m:sty m:val="b"/>
                </m:rPr>
                <w:rPr>
                  <w:rFonts w:ascii="Cambria Math" w:hAnsi="Cambria Math"/>
                  <w:lang w:val="en-GB" w:eastAsia="ja-JP"/>
                </w:rPr>
                <m:t>-</m:t>
              </m:r>
              <m:sSub>
                <m:sSubPr>
                  <m:ctrlPr>
                    <w:rPr>
                      <w:rFonts w:ascii="Cambria Math" w:hAnsi="Cambria Math"/>
                      <w:i/>
                      <w:lang w:val="en-GB" w:eastAsia="ja-JP"/>
                    </w:rPr>
                  </m:ctrlPr>
                </m:sSubPr>
                <m:e>
                  <m:r>
                    <m:rPr>
                      <m:sty m:val="b"/>
                    </m:rPr>
                    <w:rPr>
                      <w:rFonts w:ascii="Cambria Math" w:hAnsi="Cambria Math"/>
                      <w:lang w:val="en-GB" w:eastAsia="ja-JP"/>
                    </w:rPr>
                    <m:t>o</m:t>
                  </m:r>
                </m:e>
                <m:sub>
                  <m:r>
                    <m:rPr>
                      <m:sty m:val="b"/>
                    </m:rPr>
                    <w:rPr>
                      <w:rFonts w:ascii="Cambria Math" w:hAnsi="Cambria Math"/>
                      <w:lang w:val="en-GB" w:eastAsia="ja-JP"/>
                    </w:rPr>
                    <m:t>p,s</m:t>
                  </m:r>
                </m:sub>
              </m:sSub>
            </m:e>
          </m:d>
          <m:r>
            <m:rPr>
              <m:sty m:val="b"/>
            </m:rPr>
            <w:rPr>
              <w:rFonts w:ascii="Cambria Math" w:hAnsi="Cambria Math"/>
              <w:lang w:val="en-GB" w:eastAsia="ja-JP"/>
            </w:rPr>
            <m:t xml:space="preserve">mod </m:t>
          </m:r>
          <m:sSub>
            <m:sSubPr>
              <m:ctrlPr>
                <w:rPr>
                  <w:rFonts w:ascii="Cambria Math" w:hAnsi="Cambria Math"/>
                  <w:i/>
                  <w:lang w:val="en-GB" w:eastAsia="ja-JP"/>
                </w:rPr>
              </m:ctrlPr>
            </m:sSubPr>
            <m:e>
              <m:r>
                <m:rPr>
                  <m:sty m:val="b"/>
                </m:rPr>
                <w:rPr>
                  <w:rFonts w:ascii="Cambria Math" w:hAnsi="Cambria Math"/>
                  <w:lang w:val="en-GB" w:eastAsia="ja-JP"/>
                </w:rPr>
                <m:t>k</m:t>
              </m:r>
            </m:e>
            <m:sub>
              <m:r>
                <m:rPr>
                  <m:sty m:val="b"/>
                </m:rPr>
                <w:rPr>
                  <w:rFonts w:ascii="Cambria Math" w:hAnsi="Cambria Math"/>
                  <w:lang w:val="en-GB" w:eastAsia="ja-JP"/>
                </w:rPr>
                <m:t>p,s</m:t>
              </m:r>
            </m:sub>
          </m:sSub>
          <m:r>
            <m:rPr>
              <m:sty m:val="b"/>
            </m:rPr>
            <w:rPr>
              <w:rFonts w:ascii="Cambria Math" w:hAnsi="Cambria Math"/>
              <w:lang w:val="en-GB" w:eastAsia="ja-JP"/>
            </w:rPr>
            <m:t xml:space="preserve">=0 </m:t>
          </m:r>
          <m:r>
            <m:rPr>
              <m:sty m:val="bi"/>
            </m:rPr>
            <w:rPr>
              <w:rFonts w:ascii="Cambria Math" w:hAnsi="Cambria Math"/>
              <w:i/>
              <w:lang w:val="en-GB" w:eastAsia="ja-JP"/>
            </w:rPr>
            <w:fldChar w:fldCharType="end"/>
          </m:r>
        </m:oMath>
      </m:oMathPara>
    </w:p>
    <w:p w14:paraId="734DD4D7" w14:textId="77777777" w:rsidR="00BA3D0F" w:rsidRPr="00F27BA4" w:rsidRDefault="00BA3D0F" w:rsidP="00BA3D0F">
      <w:pPr>
        <w:pStyle w:val="Proposal"/>
        <w:numPr>
          <w:ilvl w:val="0"/>
          <w:numId w:val="0"/>
        </w:numPr>
        <w:tabs>
          <w:tab w:val="clear" w:pos="1701"/>
        </w:tabs>
        <w:overflowPunct w:val="0"/>
        <w:autoSpaceDE w:val="0"/>
        <w:autoSpaceDN w:val="0"/>
        <w:adjustRightInd w:val="0"/>
        <w:spacing w:line="240" w:lineRule="auto"/>
        <w:ind w:left="1354"/>
        <w:textAlignment w:val="baseline"/>
        <w:rPr>
          <w:rFonts w:eastAsiaTheme="minorEastAsia"/>
        </w:rPr>
      </w:pPr>
      <w:r w:rsidRPr="009D31AB">
        <w:rPr>
          <w:rFonts w:eastAsiaTheme="minorEastAsia" w:cs="Arial"/>
          <w:lang w:val="en-GB" w:eastAsia="ja-JP"/>
        </w:rPr>
        <w:t xml:space="preserve">where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k</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o</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and </w:t>
      </w:r>
      <m:oMath>
        <m:sSub>
          <m:sSubPr>
            <m:ctrlPr>
              <w:rPr>
                <w:rFonts w:ascii="Cambria Math" w:eastAsiaTheme="minorEastAsia" w:hAnsi="Cambria Math" w:cs="Arial"/>
                <w:i/>
                <w:lang w:val="en-GB" w:eastAsia="ja-JP"/>
              </w:rPr>
            </m:ctrlPr>
          </m:sSubPr>
          <m:e>
            <m:r>
              <m:rPr>
                <m:sty m:val="bi"/>
              </m:rPr>
              <w:rPr>
                <w:rFonts w:ascii="Cambria Math" w:eastAsiaTheme="minorEastAsia" w:hAnsi="Cambria Math" w:cs="Arial"/>
                <w:lang w:val="en-GB" w:eastAsia="ja-JP"/>
              </w:rPr>
              <m:t>T</m:t>
            </m:r>
          </m:e>
          <m:sub>
            <m:r>
              <m:rPr>
                <m:sty m:val="bi"/>
              </m:rPr>
              <w:rPr>
                <w:rFonts w:ascii="Cambria Math" w:eastAsiaTheme="minorEastAsia" w:hAnsi="Cambria Math" w:cs="Arial"/>
                <w:lang w:val="en-GB" w:eastAsia="ja-JP"/>
              </w:rPr>
              <m:t>s</m:t>
            </m:r>
          </m:sub>
        </m:sSub>
      </m:oMath>
      <w:r w:rsidRPr="009D31AB">
        <w:rPr>
          <w:rFonts w:eastAsiaTheme="minorEastAsia" w:cs="Arial"/>
          <w:lang w:val="en-GB" w:eastAsia="ja-JP"/>
        </w:rPr>
        <w:t xml:space="preserve"> are the configured </w:t>
      </w:r>
      <w:r w:rsidRPr="009D31AB">
        <w:rPr>
          <w:rFonts w:eastAsia="Calibri" w:cs="Arial"/>
          <w:szCs w:val="20"/>
          <w:lang w:val="en-GB" w:eastAsia="ja-JP"/>
        </w:rPr>
        <w:t xml:space="preserve">periodicity, offset and duration of the search space </w:t>
      </w:r>
      <m:oMath>
        <m:r>
          <m:rPr>
            <m:sty m:val="bi"/>
          </m:rPr>
          <w:rPr>
            <w:rFonts w:ascii="Cambria Math" w:eastAsia="Calibri" w:hAnsi="Cambria Math" w:cs="Arial"/>
            <w:szCs w:val="20"/>
            <w:lang w:val="en-GB" w:eastAsia="ja-JP"/>
          </w:rPr>
          <m:t>s</m:t>
        </m:r>
      </m:oMath>
      <w:r w:rsidRPr="009D31AB">
        <w:rPr>
          <w:rFonts w:eastAsia="Calibri" w:cs="Arial"/>
          <w:szCs w:val="20"/>
          <w:lang w:val="en-GB" w:eastAsia="ja-JP"/>
        </w:rPr>
        <w:t xml:space="preserve"> in terms of X-slot groups</w:t>
      </w:r>
      <w:r>
        <w:rPr>
          <w:rFonts w:eastAsia="Calibri" w:cs="Arial"/>
          <w:szCs w:val="20"/>
          <w:lang w:val="en-GB" w:eastAsia="ja-JP"/>
        </w:rPr>
        <w:t xml:space="preserve">, and </w:t>
      </w:r>
      <m:oMath>
        <m:sSub>
          <m:sSubPr>
            <m:ctrlPr>
              <w:rPr>
                <w:rFonts w:ascii="Cambria Math" w:hAnsi="Cambria Math"/>
                <w:i/>
                <w:lang w:val="en-GB" w:eastAsia="ja-JP"/>
              </w:rPr>
            </m:ctrlPr>
          </m:sSubPr>
          <m:e>
            <m:r>
              <m:rPr>
                <m:sty m:val="bi"/>
              </m:rPr>
              <w:rPr>
                <w:rFonts w:ascii="Cambria Math" w:hAnsi="Cambria Math"/>
                <w:lang w:val="en-GB" w:eastAsia="ja-JP"/>
              </w:rPr>
              <m:t>n</m:t>
            </m:r>
          </m:e>
          <m:sub>
            <m:r>
              <m:rPr>
                <m:sty m:val="bi"/>
              </m:rPr>
              <w:rPr>
                <w:rFonts w:ascii="Cambria Math" w:hAnsi="Cambria Math"/>
                <w:lang w:val="en-GB" w:eastAsia="ja-JP"/>
              </w:rPr>
              <m:t>0,X</m:t>
            </m:r>
          </m:sub>
        </m:sSub>
      </m:oMath>
      <w:r>
        <w:rPr>
          <w:rFonts w:eastAsia="Calibri" w:cs="Arial"/>
          <w:lang w:val="en-GB" w:eastAsia="ja-JP"/>
        </w:rPr>
        <w:t xml:space="preserve"> is the slot group grid offset.</w:t>
      </w:r>
    </w:p>
    <w:p w14:paraId="6C7CB98C" w14:textId="77777777" w:rsidR="00BA3D0F" w:rsidRDefault="00BA3D0F" w:rsidP="00BA3D0F">
      <w:pPr>
        <w:pStyle w:val="Proposal"/>
        <w:overflowPunct w:val="0"/>
        <w:autoSpaceDE w:val="0"/>
        <w:autoSpaceDN w:val="0"/>
        <w:adjustRightInd w:val="0"/>
        <w:spacing w:after="0" w:line="240" w:lineRule="auto"/>
        <w:textAlignment w:val="baseline"/>
        <w:rPr>
          <w:rFonts w:eastAsiaTheme="minorEastAsia"/>
        </w:rPr>
      </w:pPr>
      <w:r>
        <w:t>In defining a solution for Rel-17 multi-slot PDCCH monitoring, both intra- and inter-slot monitoring aspects shall be addressed jointly</w:t>
      </w:r>
      <w:r>
        <w:rPr>
          <w:rFonts w:eastAsiaTheme="minorEastAsia"/>
        </w:rPr>
        <w:t>:</w:t>
      </w:r>
    </w:p>
    <w:p w14:paraId="07E720DB" w14:textId="77777777" w:rsidR="00BA3D0F" w:rsidRPr="00F27BA4" w:rsidRDefault="00BA3D0F" w:rsidP="00BA3D0F">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t>In which and in how many slot(s) of a multi-slot span shall PDCCH be monitored?</w:t>
      </w:r>
    </w:p>
    <w:p w14:paraId="48E421BD" w14:textId="77777777" w:rsidR="00BA3D0F" w:rsidRPr="00527D78" w:rsidRDefault="00BA3D0F" w:rsidP="00BA3D0F">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r>
        <w:t>In which OFDM symbols of a monitored slot shall PDCCH be monitored?</w:t>
      </w:r>
    </w:p>
    <w:p w14:paraId="080DDD6B" w14:textId="77777777" w:rsidR="00534D74" w:rsidRPr="00527D78" w:rsidRDefault="00534D74" w:rsidP="00534D74">
      <w:pPr>
        <w:pStyle w:val="Proposal"/>
        <w:overflowPunct w:val="0"/>
        <w:autoSpaceDE w:val="0"/>
        <w:autoSpaceDN w:val="0"/>
        <w:adjustRightInd w:val="0"/>
        <w:spacing w:line="240" w:lineRule="auto"/>
        <w:textAlignment w:val="baseline"/>
        <w:rPr>
          <w:rFonts w:eastAsiaTheme="minorEastAsia"/>
        </w:rPr>
      </w:pPr>
      <w:r>
        <w:rPr>
          <w:rFonts w:cs="Arial"/>
          <w:szCs w:val="20"/>
          <w:lang w:eastAsia="x-none"/>
        </w:rPr>
        <w:t>For multi-slot PDCCH monitoring with 480/960 kHz SCS, it is mandatory for the UE to support intra-slot PDCCH monitoring capability Case 2 (Rel-15 FG 3-5) if Y</w:t>
      </w:r>
      <w:r w:rsidRPr="00A36C4F">
        <w:rPr>
          <w:vertAlign w:val="subscript"/>
        </w:rPr>
        <w:t>group1</w:t>
      </w:r>
      <w:r>
        <w:rPr>
          <w:rFonts w:cs="Arial"/>
          <w:szCs w:val="20"/>
          <w:lang w:eastAsia="x-none"/>
        </w:rPr>
        <w:t xml:space="preserve"> </w:t>
      </w:r>
      <w:r w:rsidRPr="00F261E7">
        <w:rPr>
          <w:rFonts w:ascii="Cambria Math" w:hAnsi="Cambria Math"/>
        </w:rPr>
        <w:t>≤</w:t>
      </w:r>
      <w:r w:rsidRPr="00F261E7">
        <w:rPr>
          <w:rFonts w:cs="Arial"/>
          <w:szCs w:val="20"/>
          <w:lang w:eastAsia="x-none"/>
        </w:rPr>
        <w:t xml:space="preserve"> </w:t>
      </w:r>
      <w:r>
        <w:rPr>
          <w:rFonts w:cs="Arial"/>
          <w:szCs w:val="20"/>
          <w:lang w:eastAsia="x-none"/>
        </w:rPr>
        <w:t>1 slot</w:t>
      </w:r>
      <w:r>
        <w:rPr>
          <w:rFonts w:eastAsiaTheme="minorEastAsia"/>
        </w:rPr>
        <w:t>.</w:t>
      </w:r>
    </w:p>
    <w:p w14:paraId="60F6A3EF" w14:textId="77777777" w:rsidR="00534D74" w:rsidRPr="00527D78" w:rsidRDefault="00534D74" w:rsidP="00534D74">
      <w:pPr>
        <w:pStyle w:val="Proposal"/>
        <w:overflowPunct w:val="0"/>
        <w:autoSpaceDE w:val="0"/>
        <w:autoSpaceDN w:val="0"/>
        <w:adjustRightInd w:val="0"/>
        <w:spacing w:line="240" w:lineRule="auto"/>
        <w:textAlignment w:val="baseline"/>
        <w:rPr>
          <w:rFonts w:eastAsiaTheme="minorEastAsia"/>
        </w:rPr>
      </w:pPr>
      <w:r>
        <w:rPr>
          <w:rFonts w:cs="Arial"/>
          <w:szCs w:val="20"/>
          <w:lang w:eastAsia="x-none"/>
        </w:rPr>
        <w:lastRenderedPageBreak/>
        <w:t xml:space="preserve">For multi-slot PDCCH monitoring with 480/960 kHz SCS, intra-slot PDCCH monitoring capability according to Rel-15 FG 3-1 can be considered as the minimum UE requirement if </w:t>
      </w:r>
      <w:r w:rsidRPr="004A4BDC">
        <w:t>Y</w:t>
      </w:r>
      <w:r w:rsidRPr="00A36C4F">
        <w:rPr>
          <w:vertAlign w:val="subscript"/>
        </w:rPr>
        <w:t>group1</w:t>
      </w:r>
      <w:r>
        <w:rPr>
          <w:rFonts w:cs="Arial"/>
          <w:szCs w:val="20"/>
          <w:lang w:eastAsia="x-none"/>
        </w:rPr>
        <w:t xml:space="preserve"> </w:t>
      </w:r>
      <w:r>
        <w:rPr>
          <w:rFonts w:ascii="Cambria Math" w:hAnsi="Cambria Math"/>
        </w:rPr>
        <w:t>&gt;</w:t>
      </w:r>
      <w:r w:rsidRPr="00F261E7">
        <w:rPr>
          <w:rFonts w:cs="Arial"/>
          <w:szCs w:val="20"/>
          <w:lang w:eastAsia="x-none"/>
        </w:rPr>
        <w:t xml:space="preserve"> </w:t>
      </w:r>
      <w:r>
        <w:rPr>
          <w:rFonts w:cs="Arial"/>
          <w:szCs w:val="20"/>
          <w:lang w:eastAsia="x-none"/>
        </w:rPr>
        <w:t>1 slot</w:t>
      </w:r>
      <w:r>
        <w:rPr>
          <w:rFonts w:eastAsiaTheme="minorEastAsia"/>
        </w:rPr>
        <w:t>.</w:t>
      </w:r>
    </w:p>
    <w:p w14:paraId="378A23BB" w14:textId="77777777" w:rsidR="00534D74" w:rsidRDefault="00534D74" w:rsidP="00534D74">
      <w:pPr>
        <w:pStyle w:val="Proposal"/>
        <w:overflowPunct w:val="0"/>
        <w:autoSpaceDE w:val="0"/>
        <w:autoSpaceDN w:val="0"/>
        <w:adjustRightInd w:val="0"/>
        <w:spacing w:after="0" w:line="240" w:lineRule="auto"/>
        <w:textAlignment w:val="baseline"/>
        <w:rPr>
          <w:rFonts w:eastAsiaTheme="minorEastAsia"/>
        </w:rPr>
      </w:pPr>
      <w:r>
        <w:rPr>
          <w:rFonts w:cs="Arial"/>
          <w:szCs w:val="20"/>
          <w:lang w:eastAsia="x-none"/>
        </w:rPr>
        <w:t>For multi-slot PDCCH monitoring with 480/960 kHz SCS, the network ensures</w:t>
      </w:r>
      <w:r>
        <w:rPr>
          <w:rFonts w:eastAsiaTheme="minorEastAsia"/>
        </w:rPr>
        <w:t>:</w:t>
      </w:r>
    </w:p>
    <w:p w14:paraId="498994F9" w14:textId="77777777" w:rsidR="00534D74" w:rsidRPr="00F27BA4" w:rsidRDefault="00534D74" w:rsidP="00534D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CE02F2">
        <w:rPr>
          <w:lang w:val="en-GB" w:eastAsia="ja-JP"/>
        </w:rPr>
        <w:t>the number of monitored PDCCH candidate</w:t>
      </w:r>
      <w:r>
        <w:rPr>
          <w:lang w:val="en-GB" w:eastAsia="ja-JP"/>
        </w:rPr>
        <w:t>s</w:t>
      </w:r>
      <w:r w:rsidRPr="00CE02F2">
        <w:rPr>
          <w:lang w:val="en-GB" w:eastAsia="ja-JP"/>
        </w:rPr>
        <w:t xml:space="preserve"> and the number </w:t>
      </w:r>
      <w:r>
        <w:rPr>
          <w:lang w:val="en-GB" w:eastAsia="ja-JP"/>
        </w:rPr>
        <w:t xml:space="preserve">of </w:t>
      </w:r>
      <w:r w:rsidRPr="00CE02F2">
        <w:rPr>
          <w:lang w:val="en-GB" w:eastAsia="ja-JP"/>
        </w:rPr>
        <w:t>non-overlapped CCE</w:t>
      </w:r>
      <w:r>
        <w:rPr>
          <w:lang w:val="en-GB" w:eastAsia="ja-JP"/>
        </w:rPr>
        <w:t>s</w:t>
      </w:r>
      <w:r w:rsidRPr="00CE02F2">
        <w:rPr>
          <w:lang w:val="en-GB" w:eastAsia="ja-JP"/>
        </w:rPr>
        <w:t xml:space="preserve"> for configured CSS sets </w:t>
      </w:r>
      <w:r>
        <w:rPr>
          <w:lang w:val="en-GB" w:eastAsia="ja-JP"/>
        </w:rPr>
        <w:t xml:space="preserve">within a </w:t>
      </w:r>
      <w:r w:rsidRPr="00CE02F2">
        <w:rPr>
          <w:lang w:val="en-GB" w:eastAsia="ja-JP"/>
        </w:rPr>
        <w:t xml:space="preserve">slot </w:t>
      </w:r>
      <w:r>
        <w:rPr>
          <w:lang w:val="en-GB" w:eastAsia="ja-JP"/>
        </w:rPr>
        <w:t xml:space="preserve">group for a </w:t>
      </w:r>
      <w:proofErr w:type="spellStart"/>
      <w:r>
        <w:rPr>
          <w:lang w:val="en-GB" w:eastAsia="ja-JP"/>
        </w:rPr>
        <w:t>PCell</w:t>
      </w:r>
      <w:proofErr w:type="spellEnd"/>
      <w:r>
        <w:rPr>
          <w:lang w:val="en-GB" w:eastAsia="ja-JP"/>
        </w:rPr>
        <w:t>/</w:t>
      </w:r>
      <w:proofErr w:type="spellStart"/>
      <w:r>
        <w:rPr>
          <w:lang w:val="en-GB" w:eastAsia="ja-JP"/>
        </w:rPr>
        <w:t>PSCell</w:t>
      </w:r>
      <w:proofErr w:type="spellEnd"/>
      <w:r>
        <w:rPr>
          <w:lang w:val="en-GB" w:eastAsia="ja-JP"/>
        </w:rPr>
        <w:t xml:space="preserve"> do </w:t>
      </w:r>
      <w:r w:rsidRPr="00CE02F2">
        <w:rPr>
          <w:lang w:val="en-GB" w:eastAsia="ja-JP"/>
        </w:rPr>
        <w:t xml:space="preserve">not exceed the </w:t>
      </w:r>
      <w:r>
        <w:rPr>
          <w:lang w:val="en-GB" w:eastAsia="ja-JP"/>
        </w:rPr>
        <w:t xml:space="preserve">UE capabilities </w:t>
      </w:r>
      <w:r w:rsidRPr="00CE02F2">
        <w:rPr>
          <w:lang w:val="en-GB" w:eastAsia="ja-JP"/>
        </w:rPr>
        <w:t>per slot</w:t>
      </w:r>
      <w:r>
        <w:rPr>
          <w:lang w:val="en-GB" w:eastAsia="ja-JP"/>
        </w:rPr>
        <w:t xml:space="preserve"> group</w:t>
      </w:r>
      <w:r>
        <w:rPr>
          <w:rFonts w:eastAsiaTheme="minorEastAsia"/>
        </w:rPr>
        <w:t>; and</w:t>
      </w:r>
    </w:p>
    <w:p w14:paraId="3E24FEB5" w14:textId="77777777" w:rsidR="00534D74" w:rsidRPr="00527D78" w:rsidRDefault="00534D74" w:rsidP="00534D74">
      <w:pPr>
        <w:pStyle w:val="Proposal"/>
        <w:numPr>
          <w:ilvl w:val="1"/>
          <w:numId w:val="2"/>
        </w:numPr>
        <w:tabs>
          <w:tab w:val="clear" w:pos="1440"/>
          <w:tab w:val="clear" w:pos="1701"/>
        </w:tabs>
        <w:overflowPunct w:val="0"/>
        <w:autoSpaceDE w:val="0"/>
        <w:autoSpaceDN w:val="0"/>
        <w:adjustRightInd w:val="0"/>
        <w:spacing w:line="240" w:lineRule="auto"/>
        <w:ind w:left="1980"/>
        <w:textAlignment w:val="baseline"/>
        <w:rPr>
          <w:rFonts w:eastAsiaTheme="minorEastAsia"/>
        </w:rPr>
      </w:pPr>
      <w:r w:rsidRPr="00CE02F2">
        <w:rPr>
          <w:lang w:val="en-GB" w:eastAsia="ja-JP"/>
        </w:rPr>
        <w:t xml:space="preserve">PDCCH monitoring overbooking is not supported for </w:t>
      </w:r>
      <w:r>
        <w:rPr>
          <w:lang w:val="en-GB" w:eastAsia="ja-JP"/>
        </w:rPr>
        <w:t xml:space="preserve">an </w:t>
      </w:r>
      <w:proofErr w:type="spellStart"/>
      <w:r>
        <w:rPr>
          <w:lang w:val="en-GB" w:eastAsia="ja-JP"/>
        </w:rPr>
        <w:t>SC</w:t>
      </w:r>
      <w:r w:rsidRPr="00CE02F2">
        <w:rPr>
          <w:lang w:val="en-GB" w:eastAsia="ja-JP"/>
        </w:rPr>
        <w:t>ell</w:t>
      </w:r>
      <w:proofErr w:type="spellEnd"/>
      <w:r>
        <w:rPr>
          <w:lang w:val="en-GB" w:eastAsia="ja-JP"/>
        </w:rPr>
        <w:t>.</w:t>
      </w:r>
    </w:p>
    <w:p w14:paraId="778D2F90" w14:textId="77777777" w:rsidR="00534D74" w:rsidRPr="00C6562F" w:rsidRDefault="00534D74" w:rsidP="00534D74">
      <w:pPr>
        <w:pStyle w:val="Proposal"/>
        <w:overflowPunct w:val="0"/>
        <w:autoSpaceDE w:val="0"/>
        <w:autoSpaceDN w:val="0"/>
        <w:adjustRightInd w:val="0"/>
        <w:spacing w:after="0" w:line="240" w:lineRule="auto"/>
        <w:textAlignment w:val="baseline"/>
        <w:rPr>
          <w:rFonts w:eastAsiaTheme="minorEastAsia"/>
        </w:rPr>
      </w:pPr>
      <w:r w:rsidRPr="00C6562F">
        <w:rPr>
          <w:rFonts w:cs="Arial"/>
          <w:szCs w:val="20"/>
          <w:lang w:eastAsia="x-none"/>
        </w:rPr>
        <w:t>For multi-slot PDCCH monitoring with 480/960 kHz SCS</w:t>
      </w:r>
      <w:r>
        <w:rPr>
          <w:rFonts w:cs="Arial"/>
          <w:szCs w:val="20"/>
          <w:lang w:eastAsia="x-none"/>
        </w:rPr>
        <w:t xml:space="preserve"> on a </w:t>
      </w:r>
      <w:proofErr w:type="spellStart"/>
      <w:r>
        <w:rPr>
          <w:rFonts w:cs="Arial"/>
          <w:szCs w:val="20"/>
          <w:lang w:eastAsia="x-none"/>
        </w:rPr>
        <w:t>PCell</w:t>
      </w:r>
      <w:proofErr w:type="spellEnd"/>
      <w:r>
        <w:rPr>
          <w:rFonts w:cs="Arial"/>
          <w:szCs w:val="20"/>
          <w:lang w:eastAsia="x-none"/>
        </w:rPr>
        <w:t>/</w:t>
      </w:r>
      <w:proofErr w:type="spellStart"/>
      <w:r>
        <w:rPr>
          <w:rFonts w:cs="Arial"/>
          <w:szCs w:val="20"/>
          <w:lang w:eastAsia="x-none"/>
        </w:rPr>
        <w:t>PScell</w:t>
      </w:r>
      <w:proofErr w:type="spellEnd"/>
      <w:r w:rsidRPr="00C6562F">
        <w:rPr>
          <w:rFonts w:cs="Arial"/>
          <w:szCs w:val="20"/>
          <w:lang w:eastAsia="x-none"/>
        </w:rPr>
        <w:t>,</w:t>
      </w:r>
      <w:r>
        <w:rPr>
          <w:rFonts w:cs="Arial"/>
          <w:szCs w:val="20"/>
          <w:lang w:eastAsia="x-none"/>
        </w:rPr>
        <w:t xml:space="preserve"> the </w:t>
      </w:r>
      <w:r w:rsidRPr="00C6562F">
        <w:rPr>
          <w:lang w:val="en-GB" w:eastAsia="ja-JP"/>
        </w:rPr>
        <w:t>UE first allocates the monitoring occasions of</w:t>
      </w:r>
      <w:r>
        <w:rPr>
          <w:lang w:val="en-GB" w:eastAsia="ja-JP"/>
        </w:rPr>
        <w:t xml:space="preserve"> all</w:t>
      </w:r>
      <w:r w:rsidRPr="00C6562F">
        <w:rPr>
          <w:lang w:val="en-GB" w:eastAsia="ja-JP"/>
        </w:rPr>
        <w:t xml:space="preserve"> configured CSS sets in a slot group</w:t>
      </w:r>
      <w:r>
        <w:rPr>
          <w:lang w:val="en-GB" w:eastAsia="ja-JP"/>
        </w:rPr>
        <w:t>.</w:t>
      </w:r>
    </w:p>
    <w:p w14:paraId="7E669C46" w14:textId="77777777" w:rsidR="00534D74" w:rsidRDefault="00534D74" w:rsidP="00534D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C6562F">
        <w:rPr>
          <w:lang w:val="en-GB" w:eastAsia="ja-JP"/>
        </w:rPr>
        <w:t xml:space="preserve">The monitoring occasions of a USS set </w:t>
      </w:r>
      <m:oMath>
        <m:r>
          <m:rPr>
            <m:sty m:val="bi"/>
          </m:rPr>
          <w:rPr>
            <w:rFonts w:ascii="Cambria Math" w:hAnsi="Cambria Math"/>
            <w:lang w:val="en-GB" w:eastAsia="ja-JP"/>
          </w:rPr>
          <m:t>j</m:t>
        </m:r>
      </m:oMath>
      <w:r w:rsidRPr="00C6562F">
        <w:rPr>
          <w:rFonts w:eastAsiaTheme="minorEastAsia"/>
          <w:lang w:val="en-GB" w:eastAsia="ja-JP"/>
        </w:rPr>
        <w:t>, starting with the lowest USS set index,</w:t>
      </w:r>
      <w:r w:rsidRPr="00C6562F">
        <w:rPr>
          <w:lang w:val="en-GB" w:eastAsia="ja-JP"/>
        </w:rPr>
        <w:t xml:space="preserve"> in a slot group are allocated for monitoring by the UE only if (1) the </w:t>
      </w:r>
      <w:r w:rsidRPr="00C6562F">
        <w:rPr>
          <w:rFonts w:cs="Arial"/>
          <w:szCs w:val="20"/>
          <w:lang w:val="en-GB" w:eastAsia="ja-JP"/>
        </w:rPr>
        <w:t xml:space="preserve">addition of the number of PDCCH candidates in USS set </w:t>
      </w:r>
      <m:oMath>
        <m:r>
          <m:rPr>
            <m:sty m:val="bi"/>
          </m:rPr>
          <w:rPr>
            <w:rFonts w:ascii="Cambria Math" w:hAnsi="Cambria Math" w:cs="Arial"/>
            <w:szCs w:val="20"/>
            <w:lang w:val="en-GB" w:eastAsia="ja-JP"/>
          </w:rPr>
          <m:t>j</m:t>
        </m:r>
      </m:oMath>
      <w:r w:rsidRPr="00C6562F">
        <w:rPr>
          <w:rFonts w:eastAsiaTheme="minorEastAsia" w:cs="Arial"/>
          <w:szCs w:val="20"/>
          <w:lang w:val="en-GB" w:eastAsia="ja-JP"/>
        </w:rPr>
        <w:t xml:space="preserve">, and (2) the </w:t>
      </w:r>
      <w:r w:rsidRPr="00C6562F">
        <w:rPr>
          <w:rFonts w:cs="Arial"/>
          <w:szCs w:val="20"/>
          <w:lang w:val="en-GB" w:eastAsia="ja-JP"/>
        </w:rPr>
        <w:t xml:space="preserve">addition of the additional number of non-overlapping CCEs for monitoring USS set </w:t>
      </w:r>
      <m:oMath>
        <m:r>
          <m:rPr>
            <m:sty m:val="bi"/>
          </m:rPr>
          <w:rPr>
            <w:rFonts w:ascii="Cambria Math" w:hAnsi="Cambria Math" w:cs="Arial"/>
            <w:szCs w:val="20"/>
            <w:lang w:val="en-GB" w:eastAsia="ja-JP"/>
          </w:rPr>
          <m:t>j</m:t>
        </m:r>
      </m:oMath>
      <w:r w:rsidRPr="00C6562F">
        <w:rPr>
          <w:rFonts w:cs="Arial"/>
          <w:szCs w:val="20"/>
          <w:lang w:val="en-GB" w:eastAsia="ja-JP"/>
        </w:rPr>
        <w:t xml:space="preserve"> considering the already allocated PDCCH candidates for monitoring do not cause UE BD/CCE capabilities per slot group to be exceeded</w:t>
      </w:r>
      <w:r w:rsidRPr="00C6562F">
        <w:rPr>
          <w:rFonts w:eastAsiaTheme="minorEastAsia"/>
        </w:rPr>
        <w:t>.</w:t>
      </w:r>
    </w:p>
    <w:p w14:paraId="41861819" w14:textId="77777777" w:rsidR="00534D74" w:rsidRPr="000D664A" w:rsidRDefault="00534D74" w:rsidP="00534D74">
      <w:pPr>
        <w:pStyle w:val="Proposal"/>
        <w:numPr>
          <w:ilvl w:val="1"/>
          <w:numId w:val="2"/>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r w:rsidRPr="00C6562F">
        <w:rPr>
          <w:lang w:val="en-GB" w:eastAsia="ja-JP"/>
        </w:rPr>
        <w:t xml:space="preserve">Once a USS set </w:t>
      </w:r>
      <m:oMath>
        <m:r>
          <m:rPr>
            <m:sty m:val="bi"/>
          </m:rPr>
          <w:rPr>
            <w:rFonts w:ascii="Cambria Math" w:hAnsi="Cambria Math"/>
            <w:lang w:val="en-GB" w:eastAsia="ja-JP"/>
          </w:rPr>
          <m:t>j</m:t>
        </m:r>
      </m:oMath>
      <w:r w:rsidRPr="00C6562F">
        <w:rPr>
          <w:lang w:val="en-GB" w:eastAsia="ja-JP"/>
        </w:rPr>
        <w:t xml:space="preserve"> is found to trigger against either of the above UE capability limits per slot group, the UE terminates the monitoring occasion allocation procedure. Consequently, all </w:t>
      </w:r>
      <w:r>
        <w:rPr>
          <w:lang w:val="en-GB" w:eastAsia="ja-JP"/>
        </w:rPr>
        <w:t xml:space="preserve">monitoring occasions of all </w:t>
      </w:r>
      <w:r w:rsidRPr="00C6562F">
        <w:rPr>
          <w:lang w:val="en-GB" w:eastAsia="ja-JP"/>
        </w:rPr>
        <w:t xml:space="preserve">USS sets with index </w:t>
      </w:r>
      <m:oMath>
        <m:r>
          <m:rPr>
            <m:sty m:val="bi"/>
          </m:rPr>
          <w:rPr>
            <w:rFonts w:ascii="Cambria Math" w:hAnsi="Cambria Math"/>
            <w:lang w:val="en-GB" w:eastAsia="ja-JP"/>
          </w:rPr>
          <m:t>k≥j</m:t>
        </m:r>
      </m:oMath>
      <w:r w:rsidRPr="00C6562F">
        <w:rPr>
          <w:rFonts w:eastAsiaTheme="minorEastAsia"/>
          <w:lang w:val="en-GB" w:eastAsia="ja-JP"/>
        </w:rPr>
        <w:t xml:space="preserve"> </w:t>
      </w:r>
      <w:r>
        <w:rPr>
          <w:rFonts w:eastAsiaTheme="minorEastAsia"/>
          <w:lang w:val="en-GB" w:eastAsia="ja-JP"/>
        </w:rPr>
        <w:t xml:space="preserve">for the slot group </w:t>
      </w:r>
      <w:r w:rsidRPr="00C6562F">
        <w:rPr>
          <w:rFonts w:eastAsiaTheme="minorEastAsia"/>
          <w:lang w:val="en-GB" w:eastAsia="ja-JP"/>
        </w:rPr>
        <w:t>are not monitored by the UE</w:t>
      </w:r>
      <w:r w:rsidRPr="000D664A">
        <w:rPr>
          <w:rFonts w:eastAsiaTheme="minorEastAsia"/>
        </w:rPr>
        <w:t>.</w:t>
      </w:r>
    </w:p>
    <w:p w14:paraId="50575BDC" w14:textId="77777777" w:rsidR="00534D74" w:rsidRPr="002A2BB2" w:rsidRDefault="00534D74" w:rsidP="002A2BB2">
      <w:pPr>
        <w:pStyle w:val="Proposal"/>
        <w:numPr>
          <w:ilvl w:val="0"/>
          <w:numId w:val="0"/>
        </w:numPr>
        <w:tabs>
          <w:tab w:val="clear" w:pos="1701"/>
        </w:tabs>
        <w:overflowPunct w:val="0"/>
        <w:autoSpaceDE w:val="0"/>
        <w:autoSpaceDN w:val="0"/>
        <w:adjustRightInd w:val="0"/>
        <w:spacing w:line="240" w:lineRule="auto"/>
        <w:ind w:left="1350"/>
        <w:textAlignment w:val="baseline"/>
        <w:rPr>
          <w:lang w:val="en-GB" w:eastAsia="ja-JP"/>
        </w:rPr>
      </w:pPr>
      <w:r w:rsidRPr="002A2BB2">
        <w:rPr>
          <w:lang w:val="en-GB" w:eastAsia="ja-JP"/>
        </w:rPr>
        <w:t>As in Rel-15/16 procedure, this monitoring occasion allocation for a slot group is to be performed for each slot group independently (of the preceding or subsequent slot group).</w:t>
      </w:r>
    </w:p>
    <w:p w14:paraId="214C4232" w14:textId="77777777" w:rsidR="005C7DC3" w:rsidRPr="009B33AA" w:rsidRDefault="005C7DC3" w:rsidP="005C7DC3">
      <w:pPr>
        <w:pStyle w:val="Proposal"/>
        <w:overflowPunct w:val="0"/>
        <w:autoSpaceDE w:val="0"/>
        <w:autoSpaceDN w:val="0"/>
        <w:adjustRightInd w:val="0"/>
        <w:spacing w:line="240" w:lineRule="auto"/>
        <w:textAlignment w:val="baseline"/>
        <w:rPr>
          <w:rFonts w:eastAsiaTheme="minorEastAsia"/>
        </w:rPr>
      </w:pPr>
      <w:r>
        <w:rPr>
          <w:rFonts w:cs="Arial"/>
          <w:szCs w:val="20"/>
          <w:lang w:eastAsia="x-none"/>
        </w:rPr>
        <w:t>For multi-slot PDCCH monitoring with 480/960 kHz SCS, configuration of Group (2) search spaces follows Rel-16 specs</w:t>
      </w:r>
      <w:r>
        <w:rPr>
          <w:lang w:eastAsia="ja-JP"/>
        </w:rPr>
        <w:t>.</w:t>
      </w:r>
    </w:p>
    <w:p w14:paraId="05944738" w14:textId="77777777" w:rsidR="005C7DC3" w:rsidRPr="009B33AA" w:rsidRDefault="005C7DC3" w:rsidP="005C7DC3">
      <w:pPr>
        <w:pStyle w:val="Proposal"/>
        <w:overflowPunct w:val="0"/>
        <w:autoSpaceDE w:val="0"/>
        <w:autoSpaceDN w:val="0"/>
        <w:adjustRightInd w:val="0"/>
        <w:spacing w:line="240" w:lineRule="auto"/>
        <w:textAlignment w:val="baseline"/>
        <w:rPr>
          <w:rFonts w:eastAsiaTheme="minorEastAsia"/>
        </w:rPr>
      </w:pPr>
      <w:r>
        <w:rPr>
          <w:rFonts w:cs="Arial"/>
          <w:szCs w:val="20"/>
          <w:lang w:eastAsia="x-none"/>
        </w:rPr>
        <w:t>For multi-slot PDCCH monitoring with 480/960 kHz SCS, monitoring occasions of Group (2) search spaces are within Y</w:t>
      </w:r>
      <w:r w:rsidRPr="00062169">
        <w:rPr>
          <w:rFonts w:cs="Arial"/>
          <w:szCs w:val="20"/>
          <w:vertAlign w:val="subscript"/>
          <w:lang w:eastAsia="x-none"/>
        </w:rPr>
        <w:t>group2</w:t>
      </w:r>
      <w:r>
        <w:rPr>
          <w:rFonts w:cs="Arial"/>
          <w:szCs w:val="20"/>
          <w:lang w:eastAsia="x-none"/>
        </w:rPr>
        <w:t xml:space="preserve"> = 2 consecutive slots within a slot group</w:t>
      </w:r>
      <w:r>
        <w:rPr>
          <w:lang w:eastAsia="ja-JP"/>
        </w:rPr>
        <w:t>.</w:t>
      </w:r>
    </w:p>
    <w:p w14:paraId="64C8C440" w14:textId="77777777" w:rsidR="005C7DC3" w:rsidRPr="0096304A" w:rsidRDefault="005C7DC3" w:rsidP="005C7DC3">
      <w:pPr>
        <w:pStyle w:val="Proposal"/>
        <w:overflowPunct w:val="0"/>
        <w:autoSpaceDE w:val="0"/>
        <w:autoSpaceDN w:val="0"/>
        <w:adjustRightInd w:val="0"/>
        <w:spacing w:line="240" w:lineRule="auto"/>
        <w:textAlignment w:val="baseline"/>
        <w:rPr>
          <w:rFonts w:eastAsiaTheme="minorEastAsia"/>
        </w:rPr>
      </w:pPr>
      <w:r>
        <w:t xml:space="preserve">For </w:t>
      </w:r>
      <w:r>
        <w:rPr>
          <w:rFonts w:eastAsiaTheme="minorEastAsia"/>
        </w:rPr>
        <w:t>operation with 480/960 kHz SCS</w:t>
      </w:r>
      <w:r>
        <w:t xml:space="preserve">, </w:t>
      </w:r>
      <w:r>
        <w:rPr>
          <w:lang w:val="en-GB" w:eastAsia="ja-JP"/>
        </w:rPr>
        <w:t>multi-slot PDCCH monitoring other than X=4 for 480 kHz SCS and X=8 for 960 kHz SCS is deferred until RAN1 completes the details of multi-slot PDCCH monitoring with X=4 for 480 kHz SCS and X=8 for 960 kHz SCS including at least</w:t>
      </w:r>
      <w:r>
        <w:rPr>
          <w:lang w:val="en-GB" w:eastAsia="ja-JP"/>
        </w:rPr>
        <w:br/>
        <w:t xml:space="preserve">(1) </w:t>
      </w:r>
      <w:r>
        <w:rPr>
          <w:lang w:eastAsia="ja-JP"/>
        </w:rPr>
        <w:t>Details of multi-slot PDCCH monitoring</w:t>
      </w:r>
      <w:r>
        <w:rPr>
          <w:lang w:val="en-GB" w:eastAsia="ja-JP"/>
        </w:rPr>
        <w:t>?</w:t>
      </w:r>
      <w:r>
        <w:rPr>
          <w:lang w:val="en-GB" w:eastAsia="ja-JP"/>
        </w:rPr>
        <w:br/>
        <w:t>(2) The minimum supported values of Y</w:t>
      </w:r>
      <w:r w:rsidRPr="001B2DE8">
        <w:rPr>
          <w:lang w:eastAsia="ja-JP"/>
        </w:rPr>
        <w:t xml:space="preserve"> </w:t>
      </w:r>
      <w:r>
        <w:rPr>
          <w:lang w:eastAsia="ja-JP"/>
        </w:rPr>
        <w:t>for the respective X values?</w:t>
      </w:r>
      <w:r>
        <w:rPr>
          <w:lang w:val="en-GB" w:eastAsia="ja-JP"/>
        </w:rPr>
        <w:br/>
        <w:t>(3) What symbols within the Y slots for PDCCH monitoring?</w:t>
      </w:r>
      <w:r>
        <w:rPr>
          <w:lang w:val="en-GB" w:eastAsia="ja-JP"/>
        </w:rPr>
        <w:br/>
        <w:t>(4) The BD/CCE budget requirement for the X-slot window?</w:t>
      </w:r>
    </w:p>
    <w:p w14:paraId="04C9490D" w14:textId="77777777" w:rsidR="005C7DC3" w:rsidRPr="009B33AA" w:rsidRDefault="005C7DC3" w:rsidP="005C7DC3">
      <w:pPr>
        <w:pStyle w:val="Proposal"/>
        <w:overflowPunct w:val="0"/>
        <w:autoSpaceDE w:val="0"/>
        <w:autoSpaceDN w:val="0"/>
        <w:adjustRightInd w:val="0"/>
        <w:spacing w:line="240" w:lineRule="auto"/>
        <w:textAlignment w:val="baseline"/>
        <w:rPr>
          <w:rFonts w:eastAsiaTheme="minorEastAsia"/>
        </w:rPr>
      </w:pPr>
      <w:r>
        <w:t xml:space="preserve">For </w:t>
      </w:r>
      <w:r>
        <w:rPr>
          <w:rFonts w:eastAsiaTheme="minorEastAsia"/>
        </w:rPr>
        <w:t>operation with 480/960 kHz SCS</w:t>
      </w:r>
      <w:r>
        <w:t>, if the optional per</w:t>
      </w:r>
      <w:r>
        <w:rPr>
          <w:lang w:val="en-GB" w:eastAsia="ja-JP"/>
        </w:rPr>
        <w:t xml:space="preserve">-slot PDCCH monitoring is discussed, the discussion in RAN1 should start with defining the </w:t>
      </w:r>
      <w:r w:rsidRPr="00F74D59">
        <w:rPr>
          <w:lang w:eastAsia="ja-JP"/>
        </w:rPr>
        <w:t>BD/CCE budget for a slot</w:t>
      </w:r>
      <w:r>
        <w:rPr>
          <w:lang w:eastAsia="ja-JP"/>
        </w:rPr>
        <w:t xml:space="preserve"> while ensuring that Rel-15 Type0-PDCCH monitoring requirements can be met.</w:t>
      </w:r>
    </w:p>
    <w:p w14:paraId="07514F2D" w14:textId="77777777" w:rsidR="005C7DC3" w:rsidRDefault="005C7DC3" w:rsidP="00E23F85">
      <w:pPr>
        <w:pStyle w:val="Proposal"/>
        <w:overflowPunct w:val="0"/>
        <w:autoSpaceDE w:val="0"/>
        <w:autoSpaceDN w:val="0"/>
        <w:adjustRightInd w:val="0"/>
        <w:spacing w:line="240" w:lineRule="auto"/>
        <w:textAlignment w:val="baseline"/>
      </w:pPr>
      <w:r>
        <w:t xml:space="preserve">Multi-slot PDCCH monitoring window sizes X&gt;1 other than </w:t>
      </w:r>
      <w:r w:rsidRPr="00E23F85">
        <w:t xml:space="preserve">X=4 for 480 kHz SCS and X=8 for 960 kHz SCS </w:t>
      </w:r>
      <w:proofErr w:type="gramStart"/>
      <w:r w:rsidRPr="00E23F85">
        <w:t>are</w:t>
      </w:r>
      <w:proofErr w:type="gramEnd"/>
      <w:r w:rsidRPr="00E23F85">
        <w:t xml:space="preserve"> not supported for Rel-17</w:t>
      </w:r>
      <w:r>
        <w:t>.</w:t>
      </w:r>
    </w:p>
    <w:p w14:paraId="436085B1" w14:textId="77777777" w:rsidR="005C7DC3" w:rsidRPr="00F27BA4" w:rsidRDefault="005C7DC3" w:rsidP="005C7DC3">
      <w:pPr>
        <w:pStyle w:val="Proposal"/>
        <w:overflowPunct w:val="0"/>
        <w:autoSpaceDE w:val="0"/>
        <w:autoSpaceDN w:val="0"/>
        <w:adjustRightInd w:val="0"/>
        <w:spacing w:after="0" w:line="240" w:lineRule="auto"/>
        <w:textAlignment w:val="baseline"/>
        <w:rPr>
          <w:rFonts w:eastAsiaTheme="minorEastAsia"/>
        </w:rPr>
      </w:pPr>
      <w:r>
        <w:rPr>
          <w:rFonts w:eastAsiaTheme="minorEastAsia"/>
        </w:rPr>
        <w:t>RAN1 agrees to the following m</w:t>
      </w:r>
      <w:r>
        <w:t xml:space="preserve">ulti-slot PDCCH processing capability values for 480/960 kHz SCS to progress the Rel-17 specification effort: </w:t>
      </w:r>
    </w:p>
    <w:p w14:paraId="68F5A91F" w14:textId="77777777" w:rsidR="005C7DC3" w:rsidRPr="00AD268A" w:rsidRDefault="005C7DC3" w:rsidP="005C7DC3">
      <w:pPr>
        <w:pStyle w:val="Proposal"/>
        <w:numPr>
          <w:ilvl w:val="1"/>
          <w:numId w:val="2"/>
        </w:numPr>
        <w:tabs>
          <w:tab w:val="clear" w:pos="1440"/>
          <w:tab w:val="clear" w:pos="1701"/>
        </w:tabs>
        <w:overflowPunct w:val="0"/>
        <w:autoSpaceDE w:val="0"/>
        <w:autoSpaceDN w:val="0"/>
        <w:adjustRightInd w:val="0"/>
        <w:spacing w:after="0" w:line="240" w:lineRule="auto"/>
        <w:ind w:left="2070"/>
        <w:textAlignment w:val="baseline"/>
        <w:rPr>
          <w:rFonts w:eastAsiaTheme="minorEastAsia"/>
        </w:rPr>
      </w:pPr>
      <w:r w:rsidRPr="00AD268A">
        <w:rPr>
          <w:rFonts w:eastAsiaTheme="minorEastAsia"/>
        </w:rPr>
        <w:t xml:space="preserve">480 kHz SCS with X=4: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max,4</m:t>
            </m:r>
            <m:r>
              <m:rPr>
                <m:nor/>
              </m:rPr>
              <w:rPr>
                <w:rFonts w:ascii="Cambria Math" w:hAnsi="Cambria Math"/>
              </w:rPr>
              <m:t>-</m:t>
            </m:r>
            <m:r>
              <m:rPr>
                <m:sty m:val="b"/>
              </m:rPr>
              <w:rPr>
                <w:rFonts w:ascii="Cambria Math" w:hAnsi="Cambria Math"/>
              </w:rPr>
              <m:t>slot,5</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max,4</m:t>
            </m:r>
            <m:r>
              <m:rPr>
                <m:nor/>
              </m:rPr>
              <w:rPr>
                <w:rFonts w:ascii="Cambria Math" w:hAnsi="Cambria Math"/>
              </w:rPr>
              <m:t>-</m:t>
            </m:r>
            <m:r>
              <m:rPr>
                <m:sty m:val="b"/>
              </m:rPr>
              <w:rPr>
                <w:rFonts w:ascii="Cambria Math" w:hAnsi="Cambria Math"/>
              </w:rPr>
              <m:t>slot,5</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w:t>
      </w:r>
    </w:p>
    <w:p w14:paraId="3365F197" w14:textId="77777777" w:rsidR="005C7DC3" w:rsidRPr="00AD268A" w:rsidRDefault="005C7DC3" w:rsidP="005C7DC3">
      <w:pPr>
        <w:pStyle w:val="Proposal"/>
        <w:numPr>
          <w:ilvl w:val="1"/>
          <w:numId w:val="2"/>
        </w:numPr>
        <w:tabs>
          <w:tab w:val="clear" w:pos="1440"/>
          <w:tab w:val="clear" w:pos="1701"/>
        </w:tabs>
        <w:overflowPunct w:val="0"/>
        <w:autoSpaceDE w:val="0"/>
        <w:autoSpaceDN w:val="0"/>
        <w:adjustRightInd w:val="0"/>
        <w:spacing w:line="240" w:lineRule="auto"/>
        <w:ind w:left="2070"/>
        <w:textAlignment w:val="baseline"/>
        <w:rPr>
          <w:rFonts w:eastAsiaTheme="minorEastAsia"/>
        </w:rPr>
      </w:pPr>
      <w:r w:rsidRPr="00AD268A">
        <w:rPr>
          <w:rFonts w:eastAsiaTheme="minorEastAsia"/>
        </w:rPr>
        <w:t xml:space="preserve">960 kHz SCS with X=8: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max,8</m:t>
            </m:r>
            <m:r>
              <m:rPr>
                <m:nor/>
              </m:rPr>
              <w:rPr>
                <w:rFonts w:ascii="Cambria Math" w:hAnsi="Cambria Math"/>
              </w:rPr>
              <m:t>-</m:t>
            </m:r>
            <m:r>
              <m:rPr>
                <m:sty m:val="b"/>
              </m:rPr>
              <w:rPr>
                <w:rFonts w:ascii="Cambria Math" w:hAnsi="Cambria Math"/>
              </w:rPr>
              <m:t>slot,6</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max,8</m:t>
            </m:r>
            <m:r>
              <m:rPr>
                <m:nor/>
              </m:rPr>
              <w:rPr>
                <w:rFonts w:ascii="Cambria Math" w:hAnsi="Cambria Math"/>
              </w:rPr>
              <m:t>-</m:t>
            </m:r>
            <m:r>
              <m:rPr>
                <m:sty m:val="b"/>
              </m:rPr>
              <w:rPr>
                <w:rFonts w:ascii="Cambria Math" w:hAnsi="Cambria Math"/>
              </w:rPr>
              <m:t>slot,6</m:t>
            </m:r>
          </m:sup>
        </m:sSubSup>
        <m:r>
          <m:rPr>
            <m:sty m:val="bi"/>
          </m:rPr>
          <w:rPr>
            <w:rFonts w:ascii="Cambria Math" w:hAnsi="Cambria Math" w:cs="Times New Roman"/>
          </w:rPr>
          <m:t>=</m:t>
        </m:r>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max,slot,3</m:t>
            </m:r>
          </m:sup>
        </m:sSubSup>
      </m:oMath>
      <w:r w:rsidRPr="00AD268A">
        <w:rPr>
          <w:rFonts w:eastAsiaTheme="minorEastAsia"/>
        </w:rPr>
        <w:t>.</w:t>
      </w:r>
    </w:p>
    <w:p w14:paraId="13A50712" w14:textId="77777777" w:rsidR="005C7DC3" w:rsidRPr="00F27BA4" w:rsidRDefault="005C7DC3" w:rsidP="005C7DC3">
      <w:pPr>
        <w:pStyle w:val="Proposal"/>
        <w:overflowPunct w:val="0"/>
        <w:autoSpaceDE w:val="0"/>
        <w:autoSpaceDN w:val="0"/>
        <w:adjustRightInd w:val="0"/>
        <w:spacing w:line="240" w:lineRule="auto"/>
        <w:ind w:left="1310" w:hanging="1310"/>
        <w:textAlignment w:val="baseline"/>
        <w:rPr>
          <w:rFonts w:eastAsiaTheme="minorEastAsia"/>
        </w:rPr>
      </w:pPr>
      <w:r>
        <w:t>M</w:t>
      </w:r>
      <w:r w:rsidRPr="00B449E7">
        <w:t xml:space="preserve">ulti-slot PDCCH monitoring </w:t>
      </w:r>
      <w:r>
        <w:t>definition Option B-FL1 from the feature lead summary is adopted for Rel-17</w:t>
      </w:r>
      <w:r>
        <w:rPr>
          <w:lang w:val="en-GB"/>
        </w:rPr>
        <w:t xml:space="preserve"> </w:t>
      </w:r>
      <w:r>
        <w:rPr>
          <w:rFonts w:cs="Arial"/>
          <w:szCs w:val="20"/>
          <w:lang w:eastAsia="x-none"/>
        </w:rPr>
        <w:t xml:space="preserve">multi-slot PDCCH monitoring with 480/960 kHz SCS if </w:t>
      </w:r>
      <w:r>
        <w:rPr>
          <w:lang w:eastAsia="ja-JP"/>
        </w:rPr>
        <w:t>RAN1 does not converge on the compromised solution</w:t>
      </w:r>
      <w:r w:rsidRPr="008F70A9">
        <w:rPr>
          <w:lang w:eastAsia="ja-JP"/>
        </w:rPr>
        <w:t xml:space="preserve"> </w:t>
      </w:r>
      <w:r>
        <w:rPr>
          <w:lang w:eastAsia="ja-JP"/>
        </w:rPr>
        <w:t>discussed in Section 2.1</w:t>
      </w:r>
      <w:r>
        <w:rPr>
          <w:lang w:val="en-GB"/>
        </w:rPr>
        <w:t>.</w:t>
      </w:r>
    </w:p>
    <w:p w14:paraId="2310F93A" w14:textId="77777777" w:rsidR="005C7DC3" w:rsidRPr="00F27BA4" w:rsidRDefault="005C7DC3" w:rsidP="005C7DC3">
      <w:pPr>
        <w:pStyle w:val="Proposal"/>
        <w:overflowPunct w:val="0"/>
        <w:autoSpaceDE w:val="0"/>
        <w:autoSpaceDN w:val="0"/>
        <w:adjustRightInd w:val="0"/>
        <w:spacing w:line="240" w:lineRule="auto"/>
        <w:ind w:left="1310" w:hanging="1310"/>
        <w:textAlignment w:val="baseline"/>
        <w:rPr>
          <w:rFonts w:eastAsiaTheme="minorEastAsia"/>
        </w:rPr>
      </w:pPr>
      <w:r>
        <w:rPr>
          <w:rFonts w:eastAsiaTheme="minorEastAsia"/>
        </w:rPr>
        <w:t xml:space="preserve">From cross-carrier scheduling of a serving cell from another cell of different numerologies is supported at least for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w:t>
      </w:r>
      <w:r>
        <w:rPr>
          <w:rFonts w:hint="eastAsia"/>
          <w:lang w:val="en-GB"/>
        </w:rPr>
        <w:t>≤</w:t>
      </w:r>
      <w:r>
        <w:rPr>
          <w:lang w:val="en-GB"/>
        </w:rPr>
        <w:t xml:space="preserve"> 5.</w:t>
      </w:r>
    </w:p>
    <w:p w14:paraId="07F987C7" w14:textId="77777777" w:rsidR="005C7DC3" w:rsidRPr="00F27BA4" w:rsidRDefault="005C7DC3" w:rsidP="005C7DC3">
      <w:pPr>
        <w:pStyle w:val="Proposal"/>
        <w:overflowPunct w:val="0"/>
        <w:autoSpaceDE w:val="0"/>
        <w:autoSpaceDN w:val="0"/>
        <w:adjustRightInd w:val="0"/>
        <w:spacing w:after="0" w:line="240" w:lineRule="auto"/>
        <w:textAlignment w:val="baseline"/>
        <w:rPr>
          <w:rFonts w:eastAsiaTheme="minorEastAsia"/>
        </w:rPr>
      </w:pPr>
      <w:r>
        <w:t>Enhancements to Rel-16 search space set group (SSSG) switching is of low priority for Rel-17 NR operation in the above 52.6 GHz range. The Rel-16 functionality can be supported for a 480/960 kHz SCS cell</w:t>
      </w:r>
      <w:r>
        <w:rPr>
          <w:rFonts w:eastAsiaTheme="minorEastAsia"/>
        </w:rPr>
        <w:t xml:space="preserve"> without additional enhancement if RAN1 can agree on the corresponding minimum switching times</w:t>
      </w:r>
      <w:r>
        <w:rPr>
          <w:lang w:val="en-GB"/>
        </w:rPr>
        <w:t xml:space="preserve">. </w:t>
      </w:r>
    </w:p>
    <w:p w14:paraId="322E8AFD" w14:textId="501DD5BA" w:rsidR="00394451" w:rsidRPr="00CE0424" w:rsidRDefault="00394451" w:rsidP="00394451">
      <w:pPr>
        <w:pStyle w:val="BodyText"/>
        <w:rPr>
          <w:b/>
          <w:bCs/>
        </w:rPr>
      </w:pPr>
    </w:p>
    <w:p w14:paraId="3E96C83A" w14:textId="77777777" w:rsidR="00394451" w:rsidRPr="00CE0424" w:rsidRDefault="00394451" w:rsidP="00394451">
      <w:pPr>
        <w:pStyle w:val="Heading1"/>
      </w:pPr>
      <w:bookmarkStart w:id="79" w:name="_In-sequence_SDU_delivery"/>
      <w:bookmarkStart w:id="80" w:name="_Toc67653049"/>
      <w:bookmarkStart w:id="81" w:name="_Toc86845017"/>
      <w:bookmarkEnd w:id="79"/>
      <w:r w:rsidRPr="00CE0424">
        <w:lastRenderedPageBreak/>
        <w:t>References</w:t>
      </w:r>
      <w:bookmarkEnd w:id="80"/>
      <w:bookmarkEnd w:id="81"/>
    </w:p>
    <w:p w14:paraId="50096CA9" w14:textId="7439C22D" w:rsidR="007F69B7" w:rsidRPr="007F69B7" w:rsidRDefault="007F69B7" w:rsidP="007F69B7">
      <w:pPr>
        <w:pStyle w:val="Reference"/>
      </w:pPr>
      <w:bookmarkStart w:id="82" w:name="_Ref61437387"/>
      <w:bookmarkStart w:id="83" w:name="_Ref174151459"/>
      <w:bookmarkStart w:id="84" w:name="_Ref189809556"/>
      <w:r w:rsidRPr="007F69B7">
        <w:t>RP-</w:t>
      </w:r>
      <w:r w:rsidR="00240B19">
        <w:t>2</w:t>
      </w:r>
      <w:r w:rsidR="009B6A0B">
        <w:t>1</w:t>
      </w:r>
      <w:r w:rsidRPr="007F69B7">
        <w:t>2</w:t>
      </w:r>
      <w:r w:rsidR="007A2F3A">
        <w:t>637</w:t>
      </w:r>
      <w:r w:rsidRPr="007F69B7">
        <w:t xml:space="preserve">, </w:t>
      </w:r>
      <w:r w:rsidR="004D0756">
        <w:t>Revised</w:t>
      </w:r>
      <w:r w:rsidRPr="007F69B7">
        <w:t xml:space="preserve"> WID on Extending current NR operation to 71 GHz</w:t>
      </w:r>
      <w:bookmarkEnd w:id="82"/>
    </w:p>
    <w:p w14:paraId="4B7CFDEC" w14:textId="7E4A5EFB" w:rsidR="00291B53" w:rsidRDefault="00291B53" w:rsidP="00394451">
      <w:pPr>
        <w:pStyle w:val="Reference"/>
      </w:pPr>
      <w:bookmarkStart w:id="85" w:name="_Ref60826533"/>
      <w:bookmarkEnd w:id="83"/>
      <w:bookmarkEnd w:id="84"/>
      <w:r>
        <w:t>RAN1 #10</w:t>
      </w:r>
      <w:r w:rsidR="00E3759E">
        <w:t>6</w:t>
      </w:r>
      <w:r w:rsidR="008F7362">
        <w:t>bis</w:t>
      </w:r>
      <w:r>
        <w:t>-e chairman’s notes</w:t>
      </w:r>
      <w:bookmarkEnd w:id="85"/>
    </w:p>
    <w:p w14:paraId="062AC184" w14:textId="464715CF" w:rsidR="001E59B0" w:rsidRDefault="00A56614" w:rsidP="00394451">
      <w:pPr>
        <w:pStyle w:val="Reference"/>
      </w:pPr>
      <w:bookmarkStart w:id="86" w:name="_Ref87003012"/>
      <w:r w:rsidRPr="00A56614">
        <w:t>R1-2102704 PDCCH monitoring enhancement for 52.6-71 GHz NR operation, MediaTek Inc</w:t>
      </w:r>
      <w:bookmarkEnd w:id="86"/>
    </w:p>
    <w:p w14:paraId="73A4914F" w14:textId="07CC9E3F" w:rsidR="009B6F3B" w:rsidRDefault="00D72D36" w:rsidP="00672E28">
      <w:pPr>
        <w:pStyle w:val="Reference"/>
      </w:pPr>
      <w:bookmarkStart w:id="87" w:name="_Ref83642650"/>
      <w:r w:rsidRPr="006B125C">
        <w:t>3GPP TS 38.822 “User Equipment (UE) feature list (Release 1</w:t>
      </w:r>
      <w:r>
        <w:t>6</w:t>
      </w:r>
      <w:r w:rsidRPr="006B125C">
        <w:t>)”</w:t>
      </w:r>
      <w:bookmarkStart w:id="88" w:name="_Ref87001105"/>
      <w:bookmarkEnd w:id="87"/>
    </w:p>
    <w:bookmarkEnd w:id="88"/>
    <w:p w14:paraId="3CD6A434" w14:textId="77777777" w:rsidR="00E3759E" w:rsidRDefault="00E3759E" w:rsidP="00577C11">
      <w:pPr>
        <w:pStyle w:val="Reference"/>
        <w:numPr>
          <w:ilvl w:val="0"/>
          <w:numId w:val="0"/>
        </w:numPr>
        <w:ind w:left="567" w:hanging="567"/>
      </w:pPr>
    </w:p>
    <w:sectPr w:rsidR="00E3759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F6F59" w14:textId="77777777" w:rsidR="00405208" w:rsidRDefault="00405208">
      <w:r>
        <w:separator/>
      </w:r>
    </w:p>
  </w:endnote>
  <w:endnote w:type="continuationSeparator" w:id="0">
    <w:p w14:paraId="1ABB481A" w14:textId="77777777" w:rsidR="00405208" w:rsidRDefault="00405208">
      <w:r>
        <w:continuationSeparator/>
      </w:r>
    </w:p>
  </w:endnote>
  <w:endnote w:type="continuationNotice" w:id="1">
    <w:p w14:paraId="64507D7C" w14:textId="77777777" w:rsidR="00405208" w:rsidRDefault="00405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DC71B" w14:textId="77777777" w:rsidR="00405208" w:rsidRDefault="00405208">
      <w:r>
        <w:separator/>
      </w:r>
    </w:p>
  </w:footnote>
  <w:footnote w:type="continuationSeparator" w:id="0">
    <w:p w14:paraId="103AFEBF" w14:textId="77777777" w:rsidR="00405208" w:rsidRDefault="00405208">
      <w:r>
        <w:continuationSeparator/>
      </w:r>
    </w:p>
  </w:footnote>
  <w:footnote w:type="continuationNotice" w:id="1">
    <w:p w14:paraId="6AF1B3E9" w14:textId="77777777" w:rsidR="00405208" w:rsidRDefault="004052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12C58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6AA0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AA00F2"/>
    <w:multiLevelType w:val="hybridMultilevel"/>
    <w:tmpl w:val="04CE8B28"/>
    <w:lvl w:ilvl="0" w:tplc="2384C506">
      <w:start w:val="1"/>
      <w:numFmt w:val="bullet"/>
      <w:lvlText w:val=""/>
      <w:lvlJc w:val="left"/>
      <w:pPr>
        <w:tabs>
          <w:tab w:val="num" w:pos="720"/>
        </w:tabs>
        <w:ind w:left="720" w:hanging="360"/>
      </w:pPr>
      <w:rPr>
        <w:rFonts w:ascii="Symbol" w:hAnsi="Symbol" w:hint="default"/>
      </w:rPr>
    </w:lvl>
    <w:lvl w:ilvl="1" w:tplc="16922352">
      <w:numFmt w:val="bullet"/>
      <w:lvlText w:val="o"/>
      <w:lvlJc w:val="left"/>
      <w:pPr>
        <w:tabs>
          <w:tab w:val="num" w:pos="1440"/>
        </w:tabs>
        <w:ind w:left="1440" w:hanging="360"/>
      </w:pPr>
      <w:rPr>
        <w:rFonts w:ascii="Courier New" w:hAnsi="Courier New" w:hint="default"/>
      </w:rPr>
    </w:lvl>
    <w:lvl w:ilvl="2" w:tplc="87D2F1D4">
      <w:numFmt w:val="bullet"/>
      <w:lvlText w:val=""/>
      <w:lvlJc w:val="left"/>
      <w:pPr>
        <w:tabs>
          <w:tab w:val="num" w:pos="2160"/>
        </w:tabs>
        <w:ind w:left="2160" w:hanging="360"/>
      </w:pPr>
      <w:rPr>
        <w:rFonts w:ascii="Wingdings" w:hAnsi="Wingdings" w:hint="default"/>
      </w:rPr>
    </w:lvl>
    <w:lvl w:ilvl="3" w:tplc="FBC69ACC">
      <w:start w:val="1"/>
      <w:numFmt w:val="bullet"/>
      <w:lvlText w:val=""/>
      <w:lvlJc w:val="left"/>
      <w:pPr>
        <w:tabs>
          <w:tab w:val="num" w:pos="2880"/>
        </w:tabs>
        <w:ind w:left="2880" w:hanging="360"/>
      </w:pPr>
      <w:rPr>
        <w:rFonts w:ascii="Symbol" w:hAnsi="Symbol" w:hint="default"/>
      </w:rPr>
    </w:lvl>
    <w:lvl w:ilvl="4" w:tplc="24067F66" w:tentative="1">
      <w:start w:val="1"/>
      <w:numFmt w:val="bullet"/>
      <w:lvlText w:val=""/>
      <w:lvlJc w:val="left"/>
      <w:pPr>
        <w:tabs>
          <w:tab w:val="num" w:pos="3600"/>
        </w:tabs>
        <w:ind w:left="3600" w:hanging="360"/>
      </w:pPr>
      <w:rPr>
        <w:rFonts w:ascii="Symbol" w:hAnsi="Symbol" w:hint="default"/>
      </w:rPr>
    </w:lvl>
    <w:lvl w:ilvl="5" w:tplc="1196E376" w:tentative="1">
      <w:start w:val="1"/>
      <w:numFmt w:val="bullet"/>
      <w:lvlText w:val=""/>
      <w:lvlJc w:val="left"/>
      <w:pPr>
        <w:tabs>
          <w:tab w:val="num" w:pos="4320"/>
        </w:tabs>
        <w:ind w:left="4320" w:hanging="360"/>
      </w:pPr>
      <w:rPr>
        <w:rFonts w:ascii="Symbol" w:hAnsi="Symbol" w:hint="default"/>
      </w:rPr>
    </w:lvl>
    <w:lvl w:ilvl="6" w:tplc="EAA08340" w:tentative="1">
      <w:start w:val="1"/>
      <w:numFmt w:val="bullet"/>
      <w:lvlText w:val=""/>
      <w:lvlJc w:val="left"/>
      <w:pPr>
        <w:tabs>
          <w:tab w:val="num" w:pos="5040"/>
        </w:tabs>
        <w:ind w:left="5040" w:hanging="360"/>
      </w:pPr>
      <w:rPr>
        <w:rFonts w:ascii="Symbol" w:hAnsi="Symbol" w:hint="default"/>
      </w:rPr>
    </w:lvl>
    <w:lvl w:ilvl="7" w:tplc="B9F68CBC" w:tentative="1">
      <w:start w:val="1"/>
      <w:numFmt w:val="bullet"/>
      <w:lvlText w:val=""/>
      <w:lvlJc w:val="left"/>
      <w:pPr>
        <w:tabs>
          <w:tab w:val="num" w:pos="5760"/>
        </w:tabs>
        <w:ind w:left="5760" w:hanging="360"/>
      </w:pPr>
      <w:rPr>
        <w:rFonts w:ascii="Symbol" w:hAnsi="Symbol" w:hint="default"/>
      </w:rPr>
    </w:lvl>
    <w:lvl w:ilvl="8" w:tplc="6DFE4C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9553F3"/>
    <w:multiLevelType w:val="hybridMultilevel"/>
    <w:tmpl w:val="A84E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65DA5"/>
    <w:multiLevelType w:val="hybridMultilevel"/>
    <w:tmpl w:val="9D48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4F07DC"/>
    <w:multiLevelType w:val="hybridMultilevel"/>
    <w:tmpl w:val="477817B0"/>
    <w:lvl w:ilvl="0" w:tplc="2C32E75C">
      <w:start w:val="1"/>
      <w:numFmt w:val="bullet"/>
      <w:pStyle w:val="TOC8"/>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7048A8"/>
    <w:multiLevelType w:val="hybridMultilevel"/>
    <w:tmpl w:val="1E2E0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2E5B86"/>
    <w:multiLevelType w:val="hybridMultilevel"/>
    <w:tmpl w:val="E01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DF9"/>
    <w:multiLevelType w:val="hybridMultilevel"/>
    <w:tmpl w:val="5A8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0405F7"/>
    <w:multiLevelType w:val="hybridMultilevel"/>
    <w:tmpl w:val="24D6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6177D"/>
    <w:multiLevelType w:val="hybridMultilevel"/>
    <w:tmpl w:val="845A1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23E45A7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6D79B7"/>
    <w:multiLevelType w:val="hybridMultilevel"/>
    <w:tmpl w:val="61881C7E"/>
    <w:lvl w:ilvl="0" w:tplc="990034BE">
      <w:start w:val="1"/>
      <w:numFmt w:val="bullet"/>
      <w:lvlText w:val="—"/>
      <w:lvlJc w:val="left"/>
      <w:pPr>
        <w:tabs>
          <w:tab w:val="num" w:pos="720"/>
        </w:tabs>
        <w:ind w:left="720" w:hanging="360"/>
      </w:pPr>
      <w:rPr>
        <w:rFonts w:ascii="Ericsson Hilda Light" w:hAnsi="Ericsson Hilda Light" w:hint="default"/>
      </w:rPr>
    </w:lvl>
    <w:lvl w:ilvl="1" w:tplc="B3122810">
      <w:numFmt w:val="bullet"/>
      <w:lvlText w:val="—"/>
      <w:lvlJc w:val="left"/>
      <w:pPr>
        <w:tabs>
          <w:tab w:val="num" w:pos="1440"/>
        </w:tabs>
        <w:ind w:left="1440" w:hanging="360"/>
      </w:pPr>
      <w:rPr>
        <w:rFonts w:ascii="Ericsson Hilda Light" w:hAnsi="Ericsson Hilda Light" w:hint="default"/>
      </w:rPr>
    </w:lvl>
    <w:lvl w:ilvl="2" w:tplc="7A1E566E">
      <w:numFmt w:val="bullet"/>
      <w:lvlText w:val="—"/>
      <w:lvlJc w:val="left"/>
      <w:pPr>
        <w:tabs>
          <w:tab w:val="num" w:pos="2160"/>
        </w:tabs>
        <w:ind w:left="2160" w:hanging="360"/>
      </w:pPr>
      <w:rPr>
        <w:rFonts w:ascii="Ericsson Hilda Light" w:hAnsi="Ericsson Hilda Light" w:hint="default"/>
      </w:rPr>
    </w:lvl>
    <w:lvl w:ilvl="3" w:tplc="553AE64A">
      <w:numFmt w:val="bullet"/>
      <w:lvlText w:val="—"/>
      <w:lvlJc w:val="left"/>
      <w:pPr>
        <w:tabs>
          <w:tab w:val="num" w:pos="2880"/>
        </w:tabs>
        <w:ind w:left="2880" w:hanging="360"/>
      </w:pPr>
      <w:rPr>
        <w:rFonts w:ascii="Ericsson Hilda Light" w:hAnsi="Ericsson Hilda Light" w:hint="default"/>
      </w:rPr>
    </w:lvl>
    <w:lvl w:ilvl="4" w:tplc="6C821D72" w:tentative="1">
      <w:start w:val="1"/>
      <w:numFmt w:val="bullet"/>
      <w:lvlText w:val="—"/>
      <w:lvlJc w:val="left"/>
      <w:pPr>
        <w:tabs>
          <w:tab w:val="num" w:pos="3600"/>
        </w:tabs>
        <w:ind w:left="3600" w:hanging="360"/>
      </w:pPr>
      <w:rPr>
        <w:rFonts w:ascii="Ericsson Hilda Light" w:hAnsi="Ericsson Hilda Light" w:hint="default"/>
      </w:rPr>
    </w:lvl>
    <w:lvl w:ilvl="5" w:tplc="24648C4E" w:tentative="1">
      <w:start w:val="1"/>
      <w:numFmt w:val="bullet"/>
      <w:lvlText w:val="—"/>
      <w:lvlJc w:val="left"/>
      <w:pPr>
        <w:tabs>
          <w:tab w:val="num" w:pos="4320"/>
        </w:tabs>
        <w:ind w:left="4320" w:hanging="360"/>
      </w:pPr>
      <w:rPr>
        <w:rFonts w:ascii="Ericsson Hilda Light" w:hAnsi="Ericsson Hilda Light" w:hint="default"/>
      </w:rPr>
    </w:lvl>
    <w:lvl w:ilvl="6" w:tplc="EFAE92AE" w:tentative="1">
      <w:start w:val="1"/>
      <w:numFmt w:val="bullet"/>
      <w:lvlText w:val="—"/>
      <w:lvlJc w:val="left"/>
      <w:pPr>
        <w:tabs>
          <w:tab w:val="num" w:pos="5040"/>
        </w:tabs>
        <w:ind w:left="5040" w:hanging="360"/>
      </w:pPr>
      <w:rPr>
        <w:rFonts w:ascii="Ericsson Hilda Light" w:hAnsi="Ericsson Hilda Light" w:hint="default"/>
      </w:rPr>
    </w:lvl>
    <w:lvl w:ilvl="7" w:tplc="8048D088" w:tentative="1">
      <w:start w:val="1"/>
      <w:numFmt w:val="bullet"/>
      <w:lvlText w:val="—"/>
      <w:lvlJc w:val="left"/>
      <w:pPr>
        <w:tabs>
          <w:tab w:val="num" w:pos="5760"/>
        </w:tabs>
        <w:ind w:left="5760" w:hanging="360"/>
      </w:pPr>
      <w:rPr>
        <w:rFonts w:ascii="Ericsson Hilda Light" w:hAnsi="Ericsson Hilda Light" w:hint="default"/>
      </w:rPr>
    </w:lvl>
    <w:lvl w:ilvl="8" w:tplc="98E2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70E18F5"/>
    <w:multiLevelType w:val="hybridMultilevel"/>
    <w:tmpl w:val="4A8C510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533A3"/>
    <w:multiLevelType w:val="hybridMultilevel"/>
    <w:tmpl w:val="98381DF0"/>
    <w:lvl w:ilvl="0" w:tplc="39BAF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917CB"/>
    <w:multiLevelType w:val="hybridMultilevel"/>
    <w:tmpl w:val="19203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F40AB"/>
    <w:multiLevelType w:val="hybridMultilevel"/>
    <w:tmpl w:val="2A240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A44E4F"/>
    <w:multiLevelType w:val="hybridMultilevel"/>
    <w:tmpl w:val="FCF27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979BA"/>
    <w:multiLevelType w:val="hybridMultilevel"/>
    <w:tmpl w:val="672E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C739A"/>
    <w:multiLevelType w:val="hybridMultilevel"/>
    <w:tmpl w:val="6AA4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61724"/>
    <w:multiLevelType w:val="hybridMultilevel"/>
    <w:tmpl w:val="F3163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383EFF"/>
    <w:multiLevelType w:val="hybridMultilevel"/>
    <w:tmpl w:val="1752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5394D"/>
    <w:multiLevelType w:val="hybridMultilevel"/>
    <w:tmpl w:val="E050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0E0B62"/>
    <w:multiLevelType w:val="hybridMultilevel"/>
    <w:tmpl w:val="74CC5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E4BA3"/>
    <w:multiLevelType w:val="hybridMultilevel"/>
    <w:tmpl w:val="C7C8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D857DC"/>
    <w:multiLevelType w:val="hybridMultilevel"/>
    <w:tmpl w:val="A1D846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
  </w:num>
  <w:num w:numId="4">
    <w:abstractNumId w:val="24"/>
  </w:num>
  <w:num w:numId="5">
    <w:abstractNumId w:val="25"/>
  </w:num>
  <w:num w:numId="6">
    <w:abstractNumId w:val="27"/>
  </w:num>
  <w:num w:numId="7">
    <w:abstractNumId w:val="9"/>
  </w:num>
  <w:num w:numId="8">
    <w:abstractNumId w:val="11"/>
  </w:num>
  <w:num w:numId="9">
    <w:abstractNumId w:val="7"/>
  </w:num>
  <w:num w:numId="10">
    <w:abstractNumId w:val="36"/>
  </w:num>
  <w:num w:numId="11">
    <w:abstractNumId w:val="14"/>
  </w:num>
  <w:num w:numId="12">
    <w:abstractNumId w:val="33"/>
  </w:num>
  <w:num w:numId="13">
    <w:abstractNumId w:val="32"/>
  </w:num>
  <w:num w:numId="14">
    <w:abstractNumId w:val="30"/>
  </w:num>
  <w:num w:numId="15">
    <w:abstractNumId w:val="15"/>
  </w:num>
  <w:num w:numId="16">
    <w:abstractNumId w:val="3"/>
  </w:num>
  <w:num w:numId="17">
    <w:abstractNumId w:val="6"/>
  </w:num>
  <w:num w:numId="18">
    <w:abstractNumId w:val="22"/>
  </w:num>
  <w:num w:numId="19">
    <w:abstractNumId w:val="34"/>
  </w:num>
  <w:num w:numId="20">
    <w:abstractNumId w:val="19"/>
  </w:num>
  <w:num w:numId="21">
    <w:abstractNumId w:val="40"/>
  </w:num>
  <w:num w:numId="22">
    <w:abstractNumId w:val="10"/>
  </w:num>
  <w:num w:numId="23">
    <w:abstractNumId w:val="8"/>
  </w:num>
  <w:num w:numId="24">
    <w:abstractNumId w:val="37"/>
  </w:num>
  <w:num w:numId="25">
    <w:abstractNumId w:val="18"/>
  </w:num>
  <w:num w:numId="26">
    <w:abstractNumId w:val="38"/>
  </w:num>
  <w:num w:numId="27">
    <w:abstractNumId w:val="23"/>
  </w:num>
  <w:num w:numId="28">
    <w:abstractNumId w:val="1"/>
  </w:num>
  <w:num w:numId="29">
    <w:abstractNumId w:val="0"/>
  </w:num>
  <w:num w:numId="30">
    <w:abstractNumId w:val="29"/>
  </w:num>
  <w:num w:numId="31">
    <w:abstractNumId w:val="39"/>
  </w:num>
  <w:num w:numId="32">
    <w:abstractNumId w:val="26"/>
  </w:num>
  <w:num w:numId="33">
    <w:abstractNumId w:val="16"/>
  </w:num>
  <w:num w:numId="34">
    <w:abstractNumId w:val="12"/>
  </w:num>
  <w:num w:numId="35">
    <w:abstractNumId w:val="28"/>
  </w:num>
  <w:num w:numId="36">
    <w:abstractNumId w:val="13"/>
  </w:num>
  <w:num w:numId="37">
    <w:abstractNumId w:val="35"/>
  </w:num>
  <w:num w:numId="38">
    <w:abstractNumId w:val="5"/>
  </w:num>
  <w:num w:numId="39">
    <w:abstractNumId w:val="4"/>
  </w:num>
  <w:num w:numId="40">
    <w:abstractNumId w:val="20"/>
  </w:num>
  <w:num w:numId="41">
    <w:abstractNumId w:val="31"/>
  </w:num>
  <w:num w:numId="42">
    <w:abstractNumId w:val="24"/>
    <w:lvlOverride w:ilvl="0">
      <w:startOverride w:val="1"/>
    </w:lvlOverride>
  </w:num>
  <w:num w:numId="43">
    <w:abstractNumId w:val="24"/>
    <w:lvlOverride w:ilvl="0">
      <w:startOverride w:val="1"/>
    </w:lvlOverride>
  </w:num>
  <w:num w:numId="44">
    <w:abstractNumId w:val="24"/>
    <w:lvlOverride w:ilvl="0">
      <w:startOverride w:val="1"/>
    </w:lvlOverride>
  </w:num>
  <w:num w:numId="45">
    <w:abstractNumId w:val="17"/>
    <w:lvlOverride w:ilvl="0">
      <w:startOverride w:val="1"/>
    </w:lvlOverride>
  </w:num>
  <w:num w:numId="4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B0"/>
    <w:rsid w:val="000006E1"/>
    <w:rsid w:val="00000B91"/>
    <w:rsid w:val="00000D01"/>
    <w:rsid w:val="0000172C"/>
    <w:rsid w:val="00001C60"/>
    <w:rsid w:val="000020B9"/>
    <w:rsid w:val="00002A37"/>
    <w:rsid w:val="00002B38"/>
    <w:rsid w:val="00002C0C"/>
    <w:rsid w:val="00003764"/>
    <w:rsid w:val="00003CC6"/>
    <w:rsid w:val="000041DA"/>
    <w:rsid w:val="00004311"/>
    <w:rsid w:val="00005281"/>
    <w:rsid w:val="0000564C"/>
    <w:rsid w:val="00005C57"/>
    <w:rsid w:val="00006175"/>
    <w:rsid w:val="00006359"/>
    <w:rsid w:val="00006446"/>
    <w:rsid w:val="00006464"/>
    <w:rsid w:val="00006896"/>
    <w:rsid w:val="00006A09"/>
    <w:rsid w:val="00007238"/>
    <w:rsid w:val="00007A27"/>
    <w:rsid w:val="00007CDC"/>
    <w:rsid w:val="00007FE6"/>
    <w:rsid w:val="00010463"/>
    <w:rsid w:val="00010C97"/>
    <w:rsid w:val="00011403"/>
    <w:rsid w:val="00011B28"/>
    <w:rsid w:val="00011DEF"/>
    <w:rsid w:val="000123B5"/>
    <w:rsid w:val="00012C3F"/>
    <w:rsid w:val="00013671"/>
    <w:rsid w:val="0001424A"/>
    <w:rsid w:val="00014258"/>
    <w:rsid w:val="0001426D"/>
    <w:rsid w:val="00014B54"/>
    <w:rsid w:val="00015582"/>
    <w:rsid w:val="00015BA5"/>
    <w:rsid w:val="00015D15"/>
    <w:rsid w:val="00015D61"/>
    <w:rsid w:val="000160D3"/>
    <w:rsid w:val="00016351"/>
    <w:rsid w:val="0001641B"/>
    <w:rsid w:val="00016680"/>
    <w:rsid w:val="00016E27"/>
    <w:rsid w:val="000171DE"/>
    <w:rsid w:val="000172CF"/>
    <w:rsid w:val="00017F45"/>
    <w:rsid w:val="000203B7"/>
    <w:rsid w:val="000208FD"/>
    <w:rsid w:val="00021525"/>
    <w:rsid w:val="000219BC"/>
    <w:rsid w:val="000225C1"/>
    <w:rsid w:val="00022CB1"/>
    <w:rsid w:val="0002429E"/>
    <w:rsid w:val="00024336"/>
    <w:rsid w:val="0002505A"/>
    <w:rsid w:val="0002564D"/>
    <w:rsid w:val="00025E30"/>
    <w:rsid w:val="00025ECA"/>
    <w:rsid w:val="00026E84"/>
    <w:rsid w:val="000279DB"/>
    <w:rsid w:val="0003158D"/>
    <w:rsid w:val="00031EF1"/>
    <w:rsid w:val="00031F7A"/>
    <w:rsid w:val="0003207B"/>
    <w:rsid w:val="000325B8"/>
    <w:rsid w:val="0003294F"/>
    <w:rsid w:val="00033354"/>
    <w:rsid w:val="0003343F"/>
    <w:rsid w:val="00033DC4"/>
    <w:rsid w:val="000346A1"/>
    <w:rsid w:val="00034C15"/>
    <w:rsid w:val="00034CB4"/>
    <w:rsid w:val="00034E8C"/>
    <w:rsid w:val="00035FA7"/>
    <w:rsid w:val="00036229"/>
    <w:rsid w:val="00036A8A"/>
    <w:rsid w:val="00036BA1"/>
    <w:rsid w:val="00037FD3"/>
    <w:rsid w:val="0004092B"/>
    <w:rsid w:val="00040D2D"/>
    <w:rsid w:val="00041101"/>
    <w:rsid w:val="0004112F"/>
    <w:rsid w:val="00041F89"/>
    <w:rsid w:val="0004227A"/>
    <w:rsid w:val="000422E2"/>
    <w:rsid w:val="00042F22"/>
    <w:rsid w:val="00043525"/>
    <w:rsid w:val="000436B9"/>
    <w:rsid w:val="00043A28"/>
    <w:rsid w:val="00043C90"/>
    <w:rsid w:val="00043E8E"/>
    <w:rsid w:val="0004448E"/>
    <w:rsid w:val="000444EF"/>
    <w:rsid w:val="000444F6"/>
    <w:rsid w:val="0004499B"/>
    <w:rsid w:val="0004715E"/>
    <w:rsid w:val="000503BB"/>
    <w:rsid w:val="00050870"/>
    <w:rsid w:val="00051236"/>
    <w:rsid w:val="000513DC"/>
    <w:rsid w:val="00051888"/>
    <w:rsid w:val="00051C2E"/>
    <w:rsid w:val="00051C8E"/>
    <w:rsid w:val="00052546"/>
    <w:rsid w:val="00052884"/>
    <w:rsid w:val="00052A07"/>
    <w:rsid w:val="00052D8A"/>
    <w:rsid w:val="00052F71"/>
    <w:rsid w:val="000532DF"/>
    <w:rsid w:val="0005344B"/>
    <w:rsid w:val="000534E3"/>
    <w:rsid w:val="0005392E"/>
    <w:rsid w:val="00053B85"/>
    <w:rsid w:val="00053CB1"/>
    <w:rsid w:val="00054065"/>
    <w:rsid w:val="00054FA0"/>
    <w:rsid w:val="0005552C"/>
    <w:rsid w:val="00055AD8"/>
    <w:rsid w:val="00055FC8"/>
    <w:rsid w:val="0005606A"/>
    <w:rsid w:val="00056542"/>
    <w:rsid w:val="00056F68"/>
    <w:rsid w:val="00057117"/>
    <w:rsid w:val="00057EAB"/>
    <w:rsid w:val="000600F4"/>
    <w:rsid w:val="00060E43"/>
    <w:rsid w:val="00060EE0"/>
    <w:rsid w:val="0006128E"/>
    <w:rsid w:val="00061511"/>
    <w:rsid w:val="000616E7"/>
    <w:rsid w:val="00062169"/>
    <w:rsid w:val="00062390"/>
    <w:rsid w:val="00062621"/>
    <w:rsid w:val="00062779"/>
    <w:rsid w:val="00062CD2"/>
    <w:rsid w:val="000641D2"/>
    <w:rsid w:val="0006487E"/>
    <w:rsid w:val="00064BA3"/>
    <w:rsid w:val="00065E1A"/>
    <w:rsid w:val="0006601C"/>
    <w:rsid w:val="000668C8"/>
    <w:rsid w:val="00066C5C"/>
    <w:rsid w:val="0007032B"/>
    <w:rsid w:val="00070551"/>
    <w:rsid w:val="00070B2D"/>
    <w:rsid w:val="00072C01"/>
    <w:rsid w:val="0007391E"/>
    <w:rsid w:val="00073B59"/>
    <w:rsid w:val="0007550E"/>
    <w:rsid w:val="0007552B"/>
    <w:rsid w:val="000758E7"/>
    <w:rsid w:val="00075F91"/>
    <w:rsid w:val="00076309"/>
    <w:rsid w:val="00077635"/>
    <w:rsid w:val="00077BD7"/>
    <w:rsid w:val="00077E5F"/>
    <w:rsid w:val="00077FE7"/>
    <w:rsid w:val="0008036A"/>
    <w:rsid w:val="00081A28"/>
    <w:rsid w:val="00081AE6"/>
    <w:rsid w:val="00082D05"/>
    <w:rsid w:val="0008380F"/>
    <w:rsid w:val="00084201"/>
    <w:rsid w:val="0008521D"/>
    <w:rsid w:val="00085535"/>
    <w:rsid w:val="0008555D"/>
    <w:rsid w:val="000855EB"/>
    <w:rsid w:val="00085B52"/>
    <w:rsid w:val="000866F2"/>
    <w:rsid w:val="00086C89"/>
    <w:rsid w:val="000870B8"/>
    <w:rsid w:val="0008746D"/>
    <w:rsid w:val="00087D71"/>
    <w:rsid w:val="0009009F"/>
    <w:rsid w:val="000901F5"/>
    <w:rsid w:val="000907F2"/>
    <w:rsid w:val="00091557"/>
    <w:rsid w:val="00092082"/>
    <w:rsid w:val="000924A3"/>
    <w:rsid w:val="000924C1"/>
    <w:rsid w:val="000924F0"/>
    <w:rsid w:val="000933AF"/>
    <w:rsid w:val="00093474"/>
    <w:rsid w:val="00093ADF"/>
    <w:rsid w:val="00093D35"/>
    <w:rsid w:val="00094CDC"/>
    <w:rsid w:val="00094E61"/>
    <w:rsid w:val="0009510F"/>
    <w:rsid w:val="000958E6"/>
    <w:rsid w:val="00096693"/>
    <w:rsid w:val="00096820"/>
    <w:rsid w:val="00096868"/>
    <w:rsid w:val="00096C47"/>
    <w:rsid w:val="0009739A"/>
    <w:rsid w:val="000974C3"/>
    <w:rsid w:val="000977B6"/>
    <w:rsid w:val="000A1253"/>
    <w:rsid w:val="000A160D"/>
    <w:rsid w:val="000A19B4"/>
    <w:rsid w:val="000A1B7B"/>
    <w:rsid w:val="000A212A"/>
    <w:rsid w:val="000A220A"/>
    <w:rsid w:val="000A2C03"/>
    <w:rsid w:val="000A3142"/>
    <w:rsid w:val="000A33F7"/>
    <w:rsid w:val="000A3A5B"/>
    <w:rsid w:val="000A3E38"/>
    <w:rsid w:val="000A4970"/>
    <w:rsid w:val="000A4CBE"/>
    <w:rsid w:val="000A5407"/>
    <w:rsid w:val="000A5554"/>
    <w:rsid w:val="000A5595"/>
    <w:rsid w:val="000A56F2"/>
    <w:rsid w:val="000A5AAB"/>
    <w:rsid w:val="000A5F04"/>
    <w:rsid w:val="000A6340"/>
    <w:rsid w:val="000A6BCF"/>
    <w:rsid w:val="000A6C69"/>
    <w:rsid w:val="000A6E0A"/>
    <w:rsid w:val="000A7976"/>
    <w:rsid w:val="000B0077"/>
    <w:rsid w:val="000B0358"/>
    <w:rsid w:val="000B0E34"/>
    <w:rsid w:val="000B175A"/>
    <w:rsid w:val="000B1B53"/>
    <w:rsid w:val="000B2456"/>
    <w:rsid w:val="000B2719"/>
    <w:rsid w:val="000B2746"/>
    <w:rsid w:val="000B2806"/>
    <w:rsid w:val="000B2CC9"/>
    <w:rsid w:val="000B30A4"/>
    <w:rsid w:val="000B3474"/>
    <w:rsid w:val="000B38DC"/>
    <w:rsid w:val="000B3A8F"/>
    <w:rsid w:val="000B3DB5"/>
    <w:rsid w:val="000B4AB9"/>
    <w:rsid w:val="000B54B9"/>
    <w:rsid w:val="000B57D4"/>
    <w:rsid w:val="000B58C3"/>
    <w:rsid w:val="000B5C59"/>
    <w:rsid w:val="000B61E9"/>
    <w:rsid w:val="000B62E5"/>
    <w:rsid w:val="000B6B99"/>
    <w:rsid w:val="000B6FD6"/>
    <w:rsid w:val="000B7196"/>
    <w:rsid w:val="000B7974"/>
    <w:rsid w:val="000B7A78"/>
    <w:rsid w:val="000B7C72"/>
    <w:rsid w:val="000C02E4"/>
    <w:rsid w:val="000C0615"/>
    <w:rsid w:val="000C0CF8"/>
    <w:rsid w:val="000C0D85"/>
    <w:rsid w:val="000C0FB1"/>
    <w:rsid w:val="000C11F1"/>
    <w:rsid w:val="000C12BE"/>
    <w:rsid w:val="000C165A"/>
    <w:rsid w:val="000C16F8"/>
    <w:rsid w:val="000C2E19"/>
    <w:rsid w:val="000C34A7"/>
    <w:rsid w:val="000C3FB2"/>
    <w:rsid w:val="000C425F"/>
    <w:rsid w:val="000C427C"/>
    <w:rsid w:val="000C49F9"/>
    <w:rsid w:val="000C4B9B"/>
    <w:rsid w:val="000C4E5A"/>
    <w:rsid w:val="000C4F1D"/>
    <w:rsid w:val="000C5581"/>
    <w:rsid w:val="000C56B0"/>
    <w:rsid w:val="000C56C6"/>
    <w:rsid w:val="000C5DC7"/>
    <w:rsid w:val="000C6B9A"/>
    <w:rsid w:val="000C7068"/>
    <w:rsid w:val="000C74A5"/>
    <w:rsid w:val="000C7A3E"/>
    <w:rsid w:val="000C7B9C"/>
    <w:rsid w:val="000D022C"/>
    <w:rsid w:val="000D0BA2"/>
    <w:rsid w:val="000D0C6B"/>
    <w:rsid w:val="000D0D07"/>
    <w:rsid w:val="000D0F80"/>
    <w:rsid w:val="000D1219"/>
    <w:rsid w:val="000D252D"/>
    <w:rsid w:val="000D30D6"/>
    <w:rsid w:val="000D31E3"/>
    <w:rsid w:val="000D37C0"/>
    <w:rsid w:val="000D4138"/>
    <w:rsid w:val="000D41FE"/>
    <w:rsid w:val="000D4797"/>
    <w:rsid w:val="000D4C1A"/>
    <w:rsid w:val="000D581F"/>
    <w:rsid w:val="000D5A2D"/>
    <w:rsid w:val="000D5D63"/>
    <w:rsid w:val="000D6031"/>
    <w:rsid w:val="000D6435"/>
    <w:rsid w:val="000D664A"/>
    <w:rsid w:val="000D6E89"/>
    <w:rsid w:val="000D7020"/>
    <w:rsid w:val="000D75C7"/>
    <w:rsid w:val="000D7863"/>
    <w:rsid w:val="000D78D4"/>
    <w:rsid w:val="000E0527"/>
    <w:rsid w:val="000E0F12"/>
    <w:rsid w:val="000E1124"/>
    <w:rsid w:val="000E12D3"/>
    <w:rsid w:val="000E197C"/>
    <w:rsid w:val="000E1E92"/>
    <w:rsid w:val="000E2509"/>
    <w:rsid w:val="000E388D"/>
    <w:rsid w:val="000E4833"/>
    <w:rsid w:val="000E4FC0"/>
    <w:rsid w:val="000E521E"/>
    <w:rsid w:val="000E5233"/>
    <w:rsid w:val="000E5982"/>
    <w:rsid w:val="000E6150"/>
    <w:rsid w:val="000E6541"/>
    <w:rsid w:val="000E6ECB"/>
    <w:rsid w:val="000E6F9C"/>
    <w:rsid w:val="000E731E"/>
    <w:rsid w:val="000E7ED2"/>
    <w:rsid w:val="000F0350"/>
    <w:rsid w:val="000F06D6"/>
    <w:rsid w:val="000F0A15"/>
    <w:rsid w:val="000F0DA7"/>
    <w:rsid w:val="000F0EB1"/>
    <w:rsid w:val="000F1106"/>
    <w:rsid w:val="000F1477"/>
    <w:rsid w:val="000F1BF3"/>
    <w:rsid w:val="000F2561"/>
    <w:rsid w:val="000F2E56"/>
    <w:rsid w:val="000F37A8"/>
    <w:rsid w:val="000F3BE9"/>
    <w:rsid w:val="000F3C19"/>
    <w:rsid w:val="000F3F6C"/>
    <w:rsid w:val="000F437C"/>
    <w:rsid w:val="000F4413"/>
    <w:rsid w:val="000F4CEA"/>
    <w:rsid w:val="000F5442"/>
    <w:rsid w:val="000F59A1"/>
    <w:rsid w:val="000F684C"/>
    <w:rsid w:val="000F69C8"/>
    <w:rsid w:val="000F6DF3"/>
    <w:rsid w:val="000F731B"/>
    <w:rsid w:val="000F79E0"/>
    <w:rsid w:val="001005FF"/>
    <w:rsid w:val="00100793"/>
    <w:rsid w:val="00100C85"/>
    <w:rsid w:val="00101653"/>
    <w:rsid w:val="00101B29"/>
    <w:rsid w:val="00101BE1"/>
    <w:rsid w:val="00101F97"/>
    <w:rsid w:val="00102103"/>
    <w:rsid w:val="001025A2"/>
    <w:rsid w:val="001026F5"/>
    <w:rsid w:val="00102767"/>
    <w:rsid w:val="00102A30"/>
    <w:rsid w:val="00102C86"/>
    <w:rsid w:val="0010324A"/>
    <w:rsid w:val="00104108"/>
    <w:rsid w:val="00104B53"/>
    <w:rsid w:val="00104FD6"/>
    <w:rsid w:val="00104FFA"/>
    <w:rsid w:val="001053E9"/>
    <w:rsid w:val="001062FB"/>
    <w:rsid w:val="001063E6"/>
    <w:rsid w:val="00106E0D"/>
    <w:rsid w:val="00110407"/>
    <w:rsid w:val="00110DDC"/>
    <w:rsid w:val="00110E3D"/>
    <w:rsid w:val="00111011"/>
    <w:rsid w:val="0011113E"/>
    <w:rsid w:val="00111515"/>
    <w:rsid w:val="001121B4"/>
    <w:rsid w:val="0011283A"/>
    <w:rsid w:val="00112E66"/>
    <w:rsid w:val="00112F27"/>
    <w:rsid w:val="001131DF"/>
    <w:rsid w:val="00113936"/>
    <w:rsid w:val="00113CF4"/>
    <w:rsid w:val="001141D4"/>
    <w:rsid w:val="00114318"/>
    <w:rsid w:val="001146BF"/>
    <w:rsid w:val="001149AD"/>
    <w:rsid w:val="00114BC3"/>
    <w:rsid w:val="001153EA"/>
    <w:rsid w:val="00115643"/>
    <w:rsid w:val="0011570C"/>
    <w:rsid w:val="00115E2D"/>
    <w:rsid w:val="00116765"/>
    <w:rsid w:val="001169FF"/>
    <w:rsid w:val="00116AFD"/>
    <w:rsid w:val="00117A78"/>
    <w:rsid w:val="00117E0A"/>
    <w:rsid w:val="001202DD"/>
    <w:rsid w:val="001219F5"/>
    <w:rsid w:val="00121A20"/>
    <w:rsid w:val="00121D40"/>
    <w:rsid w:val="00121D53"/>
    <w:rsid w:val="00121DB4"/>
    <w:rsid w:val="00122223"/>
    <w:rsid w:val="00122536"/>
    <w:rsid w:val="0012261D"/>
    <w:rsid w:val="00122755"/>
    <w:rsid w:val="0012295E"/>
    <w:rsid w:val="00122BB1"/>
    <w:rsid w:val="00122E30"/>
    <w:rsid w:val="001233E2"/>
    <w:rsid w:val="0012377F"/>
    <w:rsid w:val="00123C95"/>
    <w:rsid w:val="00124152"/>
    <w:rsid w:val="00124314"/>
    <w:rsid w:val="00124DD9"/>
    <w:rsid w:val="001252B8"/>
    <w:rsid w:val="00126212"/>
    <w:rsid w:val="00126728"/>
    <w:rsid w:val="00126B4A"/>
    <w:rsid w:val="00127DCF"/>
    <w:rsid w:val="00130061"/>
    <w:rsid w:val="00130A57"/>
    <w:rsid w:val="00130BA3"/>
    <w:rsid w:val="00130D60"/>
    <w:rsid w:val="001313CD"/>
    <w:rsid w:val="00131677"/>
    <w:rsid w:val="0013172E"/>
    <w:rsid w:val="00132FD0"/>
    <w:rsid w:val="001337B4"/>
    <w:rsid w:val="00133B1E"/>
    <w:rsid w:val="00133FAE"/>
    <w:rsid w:val="001344C0"/>
    <w:rsid w:val="001346FA"/>
    <w:rsid w:val="001347F2"/>
    <w:rsid w:val="00134BB7"/>
    <w:rsid w:val="00135225"/>
    <w:rsid w:val="00135252"/>
    <w:rsid w:val="001354C6"/>
    <w:rsid w:val="00135959"/>
    <w:rsid w:val="00136D7A"/>
    <w:rsid w:val="00137AB5"/>
    <w:rsid w:val="00137F0B"/>
    <w:rsid w:val="00140CC1"/>
    <w:rsid w:val="0014122C"/>
    <w:rsid w:val="001415B6"/>
    <w:rsid w:val="00141705"/>
    <w:rsid w:val="00142485"/>
    <w:rsid w:val="00142CF5"/>
    <w:rsid w:val="00142D9E"/>
    <w:rsid w:val="001432DB"/>
    <w:rsid w:val="00143A71"/>
    <w:rsid w:val="001440AF"/>
    <w:rsid w:val="001444E4"/>
    <w:rsid w:val="001458E1"/>
    <w:rsid w:val="00145B5C"/>
    <w:rsid w:val="0014664F"/>
    <w:rsid w:val="0014728D"/>
    <w:rsid w:val="0014781E"/>
    <w:rsid w:val="001478C9"/>
    <w:rsid w:val="00150892"/>
    <w:rsid w:val="00150B36"/>
    <w:rsid w:val="001511B4"/>
    <w:rsid w:val="00151BD1"/>
    <w:rsid w:val="00151E23"/>
    <w:rsid w:val="00152414"/>
    <w:rsid w:val="001525CD"/>
    <w:rsid w:val="001526E0"/>
    <w:rsid w:val="00152C73"/>
    <w:rsid w:val="00152F24"/>
    <w:rsid w:val="001531BD"/>
    <w:rsid w:val="001531D8"/>
    <w:rsid w:val="00153C41"/>
    <w:rsid w:val="00154667"/>
    <w:rsid w:val="00154B21"/>
    <w:rsid w:val="00155061"/>
    <w:rsid w:val="001551B5"/>
    <w:rsid w:val="001561B6"/>
    <w:rsid w:val="00156937"/>
    <w:rsid w:val="00156BC9"/>
    <w:rsid w:val="00157177"/>
    <w:rsid w:val="00157202"/>
    <w:rsid w:val="00157430"/>
    <w:rsid w:val="00157C8B"/>
    <w:rsid w:val="00160F87"/>
    <w:rsid w:val="0016102C"/>
    <w:rsid w:val="00161439"/>
    <w:rsid w:val="00161E98"/>
    <w:rsid w:val="001620FC"/>
    <w:rsid w:val="00162C48"/>
    <w:rsid w:val="00163158"/>
    <w:rsid w:val="00163B39"/>
    <w:rsid w:val="00164074"/>
    <w:rsid w:val="0016459A"/>
    <w:rsid w:val="001646A6"/>
    <w:rsid w:val="0016490E"/>
    <w:rsid w:val="00164D55"/>
    <w:rsid w:val="00165974"/>
    <w:rsid w:val="001659C1"/>
    <w:rsid w:val="00165D6B"/>
    <w:rsid w:val="001664C3"/>
    <w:rsid w:val="0016726C"/>
    <w:rsid w:val="001675BB"/>
    <w:rsid w:val="0016791E"/>
    <w:rsid w:val="00167B8D"/>
    <w:rsid w:val="0017051C"/>
    <w:rsid w:val="00170A7E"/>
    <w:rsid w:val="001718B7"/>
    <w:rsid w:val="00172600"/>
    <w:rsid w:val="0017280A"/>
    <w:rsid w:val="00172B09"/>
    <w:rsid w:val="001734AA"/>
    <w:rsid w:val="0017391B"/>
    <w:rsid w:val="00173A8E"/>
    <w:rsid w:val="00174258"/>
    <w:rsid w:val="001744C9"/>
    <w:rsid w:val="00174803"/>
    <w:rsid w:val="001748C2"/>
    <w:rsid w:val="00174D61"/>
    <w:rsid w:val="00174F09"/>
    <w:rsid w:val="0017502C"/>
    <w:rsid w:val="001757F7"/>
    <w:rsid w:val="00177232"/>
    <w:rsid w:val="001773B9"/>
    <w:rsid w:val="0017785A"/>
    <w:rsid w:val="00177A08"/>
    <w:rsid w:val="0018009F"/>
    <w:rsid w:val="0018036F"/>
    <w:rsid w:val="00180719"/>
    <w:rsid w:val="00180B51"/>
    <w:rsid w:val="00181280"/>
    <w:rsid w:val="0018143F"/>
    <w:rsid w:val="00181B7A"/>
    <w:rsid w:val="00181C59"/>
    <w:rsid w:val="00181FF8"/>
    <w:rsid w:val="001825E9"/>
    <w:rsid w:val="00182B5B"/>
    <w:rsid w:val="00182EF9"/>
    <w:rsid w:val="0018310A"/>
    <w:rsid w:val="001832C7"/>
    <w:rsid w:val="00183F6D"/>
    <w:rsid w:val="00184217"/>
    <w:rsid w:val="00184CC5"/>
    <w:rsid w:val="00184D90"/>
    <w:rsid w:val="001861F7"/>
    <w:rsid w:val="0018718F"/>
    <w:rsid w:val="0018722F"/>
    <w:rsid w:val="001874B0"/>
    <w:rsid w:val="00187826"/>
    <w:rsid w:val="001878E6"/>
    <w:rsid w:val="00187902"/>
    <w:rsid w:val="00190409"/>
    <w:rsid w:val="00190AC1"/>
    <w:rsid w:val="00191DF7"/>
    <w:rsid w:val="00191EEA"/>
    <w:rsid w:val="0019341A"/>
    <w:rsid w:val="001936F3"/>
    <w:rsid w:val="001937E1"/>
    <w:rsid w:val="00193F5D"/>
    <w:rsid w:val="001940C7"/>
    <w:rsid w:val="001945C3"/>
    <w:rsid w:val="001948F6"/>
    <w:rsid w:val="00194A48"/>
    <w:rsid w:val="0019513D"/>
    <w:rsid w:val="00195319"/>
    <w:rsid w:val="00195CFE"/>
    <w:rsid w:val="00196264"/>
    <w:rsid w:val="00196915"/>
    <w:rsid w:val="00197524"/>
    <w:rsid w:val="001977E7"/>
    <w:rsid w:val="00197DF9"/>
    <w:rsid w:val="00197F74"/>
    <w:rsid w:val="001A01EB"/>
    <w:rsid w:val="001A069B"/>
    <w:rsid w:val="001A0802"/>
    <w:rsid w:val="001A0EC4"/>
    <w:rsid w:val="001A18D8"/>
    <w:rsid w:val="001A1987"/>
    <w:rsid w:val="001A1F86"/>
    <w:rsid w:val="001A1FA3"/>
    <w:rsid w:val="001A22E4"/>
    <w:rsid w:val="001A2564"/>
    <w:rsid w:val="001A2C0D"/>
    <w:rsid w:val="001A2C4A"/>
    <w:rsid w:val="001A3EB5"/>
    <w:rsid w:val="001A4F3E"/>
    <w:rsid w:val="001A4F98"/>
    <w:rsid w:val="001A5050"/>
    <w:rsid w:val="001A6173"/>
    <w:rsid w:val="001A64C5"/>
    <w:rsid w:val="001A6CBA"/>
    <w:rsid w:val="001A6F76"/>
    <w:rsid w:val="001A78E1"/>
    <w:rsid w:val="001B0D97"/>
    <w:rsid w:val="001B203A"/>
    <w:rsid w:val="001B227F"/>
    <w:rsid w:val="001B2DE8"/>
    <w:rsid w:val="001B2F23"/>
    <w:rsid w:val="001B3637"/>
    <w:rsid w:val="001B469D"/>
    <w:rsid w:val="001B5222"/>
    <w:rsid w:val="001B5250"/>
    <w:rsid w:val="001B5A5D"/>
    <w:rsid w:val="001B5F0B"/>
    <w:rsid w:val="001B5F29"/>
    <w:rsid w:val="001B6386"/>
    <w:rsid w:val="001B6EBF"/>
    <w:rsid w:val="001B742B"/>
    <w:rsid w:val="001B7635"/>
    <w:rsid w:val="001B7A78"/>
    <w:rsid w:val="001B7F5D"/>
    <w:rsid w:val="001C0061"/>
    <w:rsid w:val="001C0145"/>
    <w:rsid w:val="001C05BC"/>
    <w:rsid w:val="001C105A"/>
    <w:rsid w:val="001C17CD"/>
    <w:rsid w:val="001C190F"/>
    <w:rsid w:val="001C1CE5"/>
    <w:rsid w:val="001C2423"/>
    <w:rsid w:val="001C2D56"/>
    <w:rsid w:val="001C2DEF"/>
    <w:rsid w:val="001C3153"/>
    <w:rsid w:val="001C32AF"/>
    <w:rsid w:val="001C3D2A"/>
    <w:rsid w:val="001C4A07"/>
    <w:rsid w:val="001C4D54"/>
    <w:rsid w:val="001C5CBB"/>
    <w:rsid w:val="001C666F"/>
    <w:rsid w:val="001C6BBF"/>
    <w:rsid w:val="001C6CC0"/>
    <w:rsid w:val="001C6E42"/>
    <w:rsid w:val="001C71C1"/>
    <w:rsid w:val="001C77AB"/>
    <w:rsid w:val="001C7A35"/>
    <w:rsid w:val="001C7D59"/>
    <w:rsid w:val="001D01B7"/>
    <w:rsid w:val="001D045C"/>
    <w:rsid w:val="001D0EDE"/>
    <w:rsid w:val="001D0F89"/>
    <w:rsid w:val="001D1166"/>
    <w:rsid w:val="001D17CA"/>
    <w:rsid w:val="001D192F"/>
    <w:rsid w:val="001D1DD3"/>
    <w:rsid w:val="001D247E"/>
    <w:rsid w:val="001D24E0"/>
    <w:rsid w:val="001D40C2"/>
    <w:rsid w:val="001D4276"/>
    <w:rsid w:val="001D5125"/>
    <w:rsid w:val="001D51BA"/>
    <w:rsid w:val="001D53E7"/>
    <w:rsid w:val="001D591C"/>
    <w:rsid w:val="001D609E"/>
    <w:rsid w:val="001D62E4"/>
    <w:rsid w:val="001D6342"/>
    <w:rsid w:val="001D6D53"/>
    <w:rsid w:val="001D7EB5"/>
    <w:rsid w:val="001D7EE0"/>
    <w:rsid w:val="001E178D"/>
    <w:rsid w:val="001E2821"/>
    <w:rsid w:val="001E292A"/>
    <w:rsid w:val="001E2ADF"/>
    <w:rsid w:val="001E3122"/>
    <w:rsid w:val="001E4709"/>
    <w:rsid w:val="001E4E93"/>
    <w:rsid w:val="001E5033"/>
    <w:rsid w:val="001E53A1"/>
    <w:rsid w:val="001E53FF"/>
    <w:rsid w:val="001E579B"/>
    <w:rsid w:val="001E58E2"/>
    <w:rsid w:val="001E59B0"/>
    <w:rsid w:val="001E6007"/>
    <w:rsid w:val="001E61DB"/>
    <w:rsid w:val="001E662B"/>
    <w:rsid w:val="001E6695"/>
    <w:rsid w:val="001E780F"/>
    <w:rsid w:val="001E7AED"/>
    <w:rsid w:val="001F02E5"/>
    <w:rsid w:val="001F0954"/>
    <w:rsid w:val="001F0A2C"/>
    <w:rsid w:val="001F0FD1"/>
    <w:rsid w:val="001F1035"/>
    <w:rsid w:val="001F1885"/>
    <w:rsid w:val="001F22E1"/>
    <w:rsid w:val="001F28DE"/>
    <w:rsid w:val="001F29BD"/>
    <w:rsid w:val="001F2AB5"/>
    <w:rsid w:val="001F351A"/>
    <w:rsid w:val="001F3916"/>
    <w:rsid w:val="001F481F"/>
    <w:rsid w:val="001F4E04"/>
    <w:rsid w:val="001F4F2D"/>
    <w:rsid w:val="001F54C5"/>
    <w:rsid w:val="001F662C"/>
    <w:rsid w:val="001F6C6B"/>
    <w:rsid w:val="001F6F30"/>
    <w:rsid w:val="001F7074"/>
    <w:rsid w:val="00200490"/>
    <w:rsid w:val="00200730"/>
    <w:rsid w:val="002007D6"/>
    <w:rsid w:val="00200A07"/>
    <w:rsid w:val="0020145C"/>
    <w:rsid w:val="00201C71"/>
    <w:rsid w:val="00201F3A"/>
    <w:rsid w:val="00201FB6"/>
    <w:rsid w:val="00202EA9"/>
    <w:rsid w:val="00203455"/>
    <w:rsid w:val="00203662"/>
    <w:rsid w:val="00203F96"/>
    <w:rsid w:val="0020403C"/>
    <w:rsid w:val="0020489D"/>
    <w:rsid w:val="0020543C"/>
    <w:rsid w:val="00205582"/>
    <w:rsid w:val="002058F1"/>
    <w:rsid w:val="00205986"/>
    <w:rsid w:val="00205EE8"/>
    <w:rsid w:val="0020658D"/>
    <w:rsid w:val="00206866"/>
    <w:rsid w:val="002069B2"/>
    <w:rsid w:val="00206DA1"/>
    <w:rsid w:val="00206DFF"/>
    <w:rsid w:val="00207621"/>
    <w:rsid w:val="00207DB6"/>
    <w:rsid w:val="00207FA3"/>
    <w:rsid w:val="00210662"/>
    <w:rsid w:val="00210749"/>
    <w:rsid w:val="00211B93"/>
    <w:rsid w:val="00211F11"/>
    <w:rsid w:val="00212218"/>
    <w:rsid w:val="00212A2F"/>
    <w:rsid w:val="00212D96"/>
    <w:rsid w:val="00214649"/>
    <w:rsid w:val="002149FC"/>
    <w:rsid w:val="00214A3F"/>
    <w:rsid w:val="00214DA8"/>
    <w:rsid w:val="00215235"/>
    <w:rsid w:val="00215423"/>
    <w:rsid w:val="002158FA"/>
    <w:rsid w:val="002159FC"/>
    <w:rsid w:val="002161D7"/>
    <w:rsid w:val="002164B5"/>
    <w:rsid w:val="0021683A"/>
    <w:rsid w:val="00216B09"/>
    <w:rsid w:val="002174FB"/>
    <w:rsid w:val="00217807"/>
    <w:rsid w:val="00217ECA"/>
    <w:rsid w:val="00220600"/>
    <w:rsid w:val="00220791"/>
    <w:rsid w:val="002212F6"/>
    <w:rsid w:val="002224DB"/>
    <w:rsid w:val="0022264A"/>
    <w:rsid w:val="00223297"/>
    <w:rsid w:val="00223C1A"/>
    <w:rsid w:val="00223FCB"/>
    <w:rsid w:val="002241F8"/>
    <w:rsid w:val="002241FF"/>
    <w:rsid w:val="00224282"/>
    <w:rsid w:val="00224CFA"/>
    <w:rsid w:val="0022529E"/>
    <w:rsid w:val="002252C3"/>
    <w:rsid w:val="00225C54"/>
    <w:rsid w:val="002270A8"/>
    <w:rsid w:val="002276A7"/>
    <w:rsid w:val="00227744"/>
    <w:rsid w:val="0022775F"/>
    <w:rsid w:val="0023038B"/>
    <w:rsid w:val="002303B5"/>
    <w:rsid w:val="002305D1"/>
    <w:rsid w:val="00230765"/>
    <w:rsid w:val="002308A1"/>
    <w:rsid w:val="00230D18"/>
    <w:rsid w:val="002319E4"/>
    <w:rsid w:val="00231F08"/>
    <w:rsid w:val="002321A2"/>
    <w:rsid w:val="00232621"/>
    <w:rsid w:val="00232B96"/>
    <w:rsid w:val="002331EF"/>
    <w:rsid w:val="0023397F"/>
    <w:rsid w:val="00233A35"/>
    <w:rsid w:val="0023478D"/>
    <w:rsid w:val="00234F4F"/>
    <w:rsid w:val="00235632"/>
    <w:rsid w:val="00235872"/>
    <w:rsid w:val="00236B44"/>
    <w:rsid w:val="00236E70"/>
    <w:rsid w:val="002375E3"/>
    <w:rsid w:val="00237946"/>
    <w:rsid w:val="0024081D"/>
    <w:rsid w:val="00240B19"/>
    <w:rsid w:val="00240DB5"/>
    <w:rsid w:val="00240F99"/>
    <w:rsid w:val="00241559"/>
    <w:rsid w:val="002426C2"/>
    <w:rsid w:val="00242BF6"/>
    <w:rsid w:val="002435B3"/>
    <w:rsid w:val="00243FFE"/>
    <w:rsid w:val="00244781"/>
    <w:rsid w:val="00244847"/>
    <w:rsid w:val="00244A43"/>
    <w:rsid w:val="00244E30"/>
    <w:rsid w:val="002455A2"/>
    <w:rsid w:val="00245676"/>
    <w:rsid w:val="002458E7"/>
    <w:rsid w:val="002458EB"/>
    <w:rsid w:val="00245A73"/>
    <w:rsid w:val="00245B26"/>
    <w:rsid w:val="00246E64"/>
    <w:rsid w:val="00246EBA"/>
    <w:rsid w:val="00246EFE"/>
    <w:rsid w:val="002474ED"/>
    <w:rsid w:val="00247AAC"/>
    <w:rsid w:val="0025003E"/>
    <w:rsid w:val="002500C8"/>
    <w:rsid w:val="00250B0C"/>
    <w:rsid w:val="00250E2B"/>
    <w:rsid w:val="002513AE"/>
    <w:rsid w:val="002516C0"/>
    <w:rsid w:val="00252200"/>
    <w:rsid w:val="002522C8"/>
    <w:rsid w:val="002523F5"/>
    <w:rsid w:val="002526E6"/>
    <w:rsid w:val="00252B62"/>
    <w:rsid w:val="00252BAB"/>
    <w:rsid w:val="00253A18"/>
    <w:rsid w:val="00254018"/>
    <w:rsid w:val="00254B1B"/>
    <w:rsid w:val="00255528"/>
    <w:rsid w:val="002558B9"/>
    <w:rsid w:val="00255A60"/>
    <w:rsid w:val="002563CA"/>
    <w:rsid w:val="00256760"/>
    <w:rsid w:val="002568C0"/>
    <w:rsid w:val="00256A57"/>
    <w:rsid w:val="00256AF6"/>
    <w:rsid w:val="00256B1A"/>
    <w:rsid w:val="00257543"/>
    <w:rsid w:val="00257F46"/>
    <w:rsid w:val="002605BD"/>
    <w:rsid w:val="002617E7"/>
    <w:rsid w:val="00261EC2"/>
    <w:rsid w:val="002620F9"/>
    <w:rsid w:val="002622B5"/>
    <w:rsid w:val="00262357"/>
    <w:rsid w:val="002626C6"/>
    <w:rsid w:val="002628E2"/>
    <w:rsid w:val="00263537"/>
    <w:rsid w:val="00263576"/>
    <w:rsid w:val="00263613"/>
    <w:rsid w:val="00263860"/>
    <w:rsid w:val="00263D07"/>
    <w:rsid w:val="00263DF7"/>
    <w:rsid w:val="00264228"/>
    <w:rsid w:val="00264334"/>
    <w:rsid w:val="00264457"/>
    <w:rsid w:val="0026463C"/>
    <w:rsid w:val="0026473E"/>
    <w:rsid w:val="002650F8"/>
    <w:rsid w:val="00265425"/>
    <w:rsid w:val="00265448"/>
    <w:rsid w:val="00265787"/>
    <w:rsid w:val="00265CA5"/>
    <w:rsid w:val="00266214"/>
    <w:rsid w:val="0026699B"/>
    <w:rsid w:val="00266EEE"/>
    <w:rsid w:val="002673C0"/>
    <w:rsid w:val="00267C83"/>
    <w:rsid w:val="00267D98"/>
    <w:rsid w:val="00270223"/>
    <w:rsid w:val="0027037F"/>
    <w:rsid w:val="00270818"/>
    <w:rsid w:val="0027144F"/>
    <w:rsid w:val="00271813"/>
    <w:rsid w:val="002718F8"/>
    <w:rsid w:val="00271F3A"/>
    <w:rsid w:val="002729FD"/>
    <w:rsid w:val="00273278"/>
    <w:rsid w:val="002737F4"/>
    <w:rsid w:val="002742A8"/>
    <w:rsid w:val="0027530F"/>
    <w:rsid w:val="0027531B"/>
    <w:rsid w:val="00275645"/>
    <w:rsid w:val="0027592C"/>
    <w:rsid w:val="00275A8E"/>
    <w:rsid w:val="002762C0"/>
    <w:rsid w:val="002765CF"/>
    <w:rsid w:val="0027664B"/>
    <w:rsid w:val="002766D9"/>
    <w:rsid w:val="00276A93"/>
    <w:rsid w:val="00276B3A"/>
    <w:rsid w:val="00277A6D"/>
    <w:rsid w:val="00277FF6"/>
    <w:rsid w:val="00280169"/>
    <w:rsid w:val="002805F5"/>
    <w:rsid w:val="00280751"/>
    <w:rsid w:val="00280C04"/>
    <w:rsid w:val="00281D02"/>
    <w:rsid w:val="00281D6F"/>
    <w:rsid w:val="00281FC3"/>
    <w:rsid w:val="0028280A"/>
    <w:rsid w:val="002839EE"/>
    <w:rsid w:val="00283F4B"/>
    <w:rsid w:val="00284247"/>
    <w:rsid w:val="00284EE8"/>
    <w:rsid w:val="00285566"/>
    <w:rsid w:val="002856C8"/>
    <w:rsid w:val="00285D7A"/>
    <w:rsid w:val="00285E08"/>
    <w:rsid w:val="0028615B"/>
    <w:rsid w:val="00286ACD"/>
    <w:rsid w:val="00286E1B"/>
    <w:rsid w:val="0028772E"/>
    <w:rsid w:val="00287838"/>
    <w:rsid w:val="00287D79"/>
    <w:rsid w:val="00287E91"/>
    <w:rsid w:val="00290555"/>
    <w:rsid w:val="00290688"/>
    <w:rsid w:val="002907B5"/>
    <w:rsid w:val="00290D35"/>
    <w:rsid w:val="00291856"/>
    <w:rsid w:val="00291ABF"/>
    <w:rsid w:val="00291B53"/>
    <w:rsid w:val="00291C9C"/>
    <w:rsid w:val="00292447"/>
    <w:rsid w:val="002925AF"/>
    <w:rsid w:val="0029292B"/>
    <w:rsid w:val="00292EB7"/>
    <w:rsid w:val="0029349D"/>
    <w:rsid w:val="00293DBE"/>
    <w:rsid w:val="00293F52"/>
    <w:rsid w:val="002944EF"/>
    <w:rsid w:val="00294AF3"/>
    <w:rsid w:val="00294F9D"/>
    <w:rsid w:val="002951D4"/>
    <w:rsid w:val="00295441"/>
    <w:rsid w:val="00295739"/>
    <w:rsid w:val="00295E68"/>
    <w:rsid w:val="00296227"/>
    <w:rsid w:val="002966B0"/>
    <w:rsid w:val="0029677A"/>
    <w:rsid w:val="00296F44"/>
    <w:rsid w:val="00297372"/>
    <w:rsid w:val="00297481"/>
    <w:rsid w:val="0029777D"/>
    <w:rsid w:val="00297A0C"/>
    <w:rsid w:val="00297EEF"/>
    <w:rsid w:val="002A055E"/>
    <w:rsid w:val="002A1329"/>
    <w:rsid w:val="002A147A"/>
    <w:rsid w:val="002A14E4"/>
    <w:rsid w:val="002A150E"/>
    <w:rsid w:val="002A1D4E"/>
    <w:rsid w:val="002A2869"/>
    <w:rsid w:val="002A2ABF"/>
    <w:rsid w:val="002A2B87"/>
    <w:rsid w:val="002A2BB2"/>
    <w:rsid w:val="002A4046"/>
    <w:rsid w:val="002A4098"/>
    <w:rsid w:val="002A4A67"/>
    <w:rsid w:val="002A4FB4"/>
    <w:rsid w:val="002A5585"/>
    <w:rsid w:val="002A5973"/>
    <w:rsid w:val="002A60B2"/>
    <w:rsid w:val="002A665A"/>
    <w:rsid w:val="002A7A76"/>
    <w:rsid w:val="002A7F1B"/>
    <w:rsid w:val="002B0275"/>
    <w:rsid w:val="002B1347"/>
    <w:rsid w:val="002B1C2A"/>
    <w:rsid w:val="002B1F51"/>
    <w:rsid w:val="002B2202"/>
    <w:rsid w:val="002B2447"/>
    <w:rsid w:val="002B24D6"/>
    <w:rsid w:val="002B2945"/>
    <w:rsid w:val="002B2C02"/>
    <w:rsid w:val="002B3ADB"/>
    <w:rsid w:val="002B5821"/>
    <w:rsid w:val="002B5BD3"/>
    <w:rsid w:val="002B5BDD"/>
    <w:rsid w:val="002B5EBC"/>
    <w:rsid w:val="002B6213"/>
    <w:rsid w:val="002B63EB"/>
    <w:rsid w:val="002B7484"/>
    <w:rsid w:val="002B7CA5"/>
    <w:rsid w:val="002C05F9"/>
    <w:rsid w:val="002C0636"/>
    <w:rsid w:val="002C07F2"/>
    <w:rsid w:val="002C089B"/>
    <w:rsid w:val="002C0FA6"/>
    <w:rsid w:val="002C167C"/>
    <w:rsid w:val="002C1802"/>
    <w:rsid w:val="002C23A9"/>
    <w:rsid w:val="002C23E9"/>
    <w:rsid w:val="002C361A"/>
    <w:rsid w:val="002C3D47"/>
    <w:rsid w:val="002C41E6"/>
    <w:rsid w:val="002C437A"/>
    <w:rsid w:val="002C47DC"/>
    <w:rsid w:val="002C4C72"/>
    <w:rsid w:val="002C607D"/>
    <w:rsid w:val="002C729A"/>
    <w:rsid w:val="002C72BD"/>
    <w:rsid w:val="002D0436"/>
    <w:rsid w:val="002D071A"/>
    <w:rsid w:val="002D08C0"/>
    <w:rsid w:val="002D0D13"/>
    <w:rsid w:val="002D0FC4"/>
    <w:rsid w:val="002D1578"/>
    <w:rsid w:val="002D2441"/>
    <w:rsid w:val="002D2D12"/>
    <w:rsid w:val="002D34B2"/>
    <w:rsid w:val="002D3D47"/>
    <w:rsid w:val="002D3FCF"/>
    <w:rsid w:val="002D47A4"/>
    <w:rsid w:val="002D48B0"/>
    <w:rsid w:val="002D4F5B"/>
    <w:rsid w:val="002D5B37"/>
    <w:rsid w:val="002D6802"/>
    <w:rsid w:val="002D68E1"/>
    <w:rsid w:val="002D6C4C"/>
    <w:rsid w:val="002D6FE4"/>
    <w:rsid w:val="002D714A"/>
    <w:rsid w:val="002D726F"/>
    <w:rsid w:val="002D7637"/>
    <w:rsid w:val="002D7EEA"/>
    <w:rsid w:val="002E0280"/>
    <w:rsid w:val="002E0DD3"/>
    <w:rsid w:val="002E0FB4"/>
    <w:rsid w:val="002E144E"/>
    <w:rsid w:val="002E178D"/>
    <w:rsid w:val="002E17F2"/>
    <w:rsid w:val="002E33A8"/>
    <w:rsid w:val="002E3D58"/>
    <w:rsid w:val="002E3FFC"/>
    <w:rsid w:val="002E451E"/>
    <w:rsid w:val="002E4F57"/>
    <w:rsid w:val="002E6260"/>
    <w:rsid w:val="002E7CAE"/>
    <w:rsid w:val="002F027D"/>
    <w:rsid w:val="002F068B"/>
    <w:rsid w:val="002F127F"/>
    <w:rsid w:val="002F12C3"/>
    <w:rsid w:val="002F13E4"/>
    <w:rsid w:val="002F233E"/>
    <w:rsid w:val="002F2771"/>
    <w:rsid w:val="002F2FD9"/>
    <w:rsid w:val="002F37A9"/>
    <w:rsid w:val="002F3ACB"/>
    <w:rsid w:val="002F3D2D"/>
    <w:rsid w:val="002F43E6"/>
    <w:rsid w:val="002F491D"/>
    <w:rsid w:val="002F4C0A"/>
    <w:rsid w:val="002F4C68"/>
    <w:rsid w:val="002F529E"/>
    <w:rsid w:val="002F5459"/>
    <w:rsid w:val="002F570A"/>
    <w:rsid w:val="002F6210"/>
    <w:rsid w:val="002F693B"/>
    <w:rsid w:val="002F6D4B"/>
    <w:rsid w:val="003001A1"/>
    <w:rsid w:val="00301AB0"/>
    <w:rsid w:val="00301CE6"/>
    <w:rsid w:val="003021B7"/>
    <w:rsid w:val="003023CD"/>
    <w:rsid w:val="0030256B"/>
    <w:rsid w:val="0030268D"/>
    <w:rsid w:val="00302757"/>
    <w:rsid w:val="0030275E"/>
    <w:rsid w:val="00302BBB"/>
    <w:rsid w:val="003037B9"/>
    <w:rsid w:val="00303974"/>
    <w:rsid w:val="00303F42"/>
    <w:rsid w:val="0030425B"/>
    <w:rsid w:val="0030501F"/>
    <w:rsid w:val="00305A70"/>
    <w:rsid w:val="00305C09"/>
    <w:rsid w:val="00306DA8"/>
    <w:rsid w:val="00306E7F"/>
    <w:rsid w:val="00307BA1"/>
    <w:rsid w:val="00307D89"/>
    <w:rsid w:val="00310135"/>
    <w:rsid w:val="00310BDB"/>
    <w:rsid w:val="00311414"/>
    <w:rsid w:val="00311702"/>
    <w:rsid w:val="00311752"/>
    <w:rsid w:val="0031178A"/>
    <w:rsid w:val="00311C3C"/>
    <w:rsid w:val="00311E82"/>
    <w:rsid w:val="00312533"/>
    <w:rsid w:val="003135D4"/>
    <w:rsid w:val="00313FD6"/>
    <w:rsid w:val="00314149"/>
    <w:rsid w:val="003143BD"/>
    <w:rsid w:val="00314DD9"/>
    <w:rsid w:val="00315363"/>
    <w:rsid w:val="0031582C"/>
    <w:rsid w:val="00315FB6"/>
    <w:rsid w:val="00317899"/>
    <w:rsid w:val="003179A4"/>
    <w:rsid w:val="003203ED"/>
    <w:rsid w:val="003204E0"/>
    <w:rsid w:val="0032078B"/>
    <w:rsid w:val="00320A25"/>
    <w:rsid w:val="00321734"/>
    <w:rsid w:val="00321875"/>
    <w:rsid w:val="0032200E"/>
    <w:rsid w:val="00322C9F"/>
    <w:rsid w:val="003231A1"/>
    <w:rsid w:val="00323472"/>
    <w:rsid w:val="003234FD"/>
    <w:rsid w:val="0032365E"/>
    <w:rsid w:val="003241FF"/>
    <w:rsid w:val="00324329"/>
    <w:rsid w:val="0032452B"/>
    <w:rsid w:val="0032479F"/>
    <w:rsid w:val="00324C6E"/>
    <w:rsid w:val="00324D23"/>
    <w:rsid w:val="003253B6"/>
    <w:rsid w:val="003255F6"/>
    <w:rsid w:val="0032578B"/>
    <w:rsid w:val="003264FD"/>
    <w:rsid w:val="00326802"/>
    <w:rsid w:val="0032770D"/>
    <w:rsid w:val="003279DE"/>
    <w:rsid w:val="0033091A"/>
    <w:rsid w:val="00330D08"/>
    <w:rsid w:val="0033133E"/>
    <w:rsid w:val="00331751"/>
    <w:rsid w:val="00331AFD"/>
    <w:rsid w:val="003325A4"/>
    <w:rsid w:val="003328CA"/>
    <w:rsid w:val="0033296A"/>
    <w:rsid w:val="00332C63"/>
    <w:rsid w:val="00333473"/>
    <w:rsid w:val="00333946"/>
    <w:rsid w:val="00333A39"/>
    <w:rsid w:val="00333BC4"/>
    <w:rsid w:val="00333F60"/>
    <w:rsid w:val="00334579"/>
    <w:rsid w:val="00335858"/>
    <w:rsid w:val="00335ABF"/>
    <w:rsid w:val="003364B4"/>
    <w:rsid w:val="00336BDA"/>
    <w:rsid w:val="0033745D"/>
    <w:rsid w:val="003406EA"/>
    <w:rsid w:val="00342411"/>
    <w:rsid w:val="00342549"/>
    <w:rsid w:val="00342776"/>
    <w:rsid w:val="00342BC7"/>
    <w:rsid w:val="00342BD7"/>
    <w:rsid w:val="00343325"/>
    <w:rsid w:val="00343CC8"/>
    <w:rsid w:val="00344657"/>
    <w:rsid w:val="0034472F"/>
    <w:rsid w:val="00345087"/>
    <w:rsid w:val="003450C3"/>
    <w:rsid w:val="003464D9"/>
    <w:rsid w:val="00346DB5"/>
    <w:rsid w:val="00346E89"/>
    <w:rsid w:val="0034730F"/>
    <w:rsid w:val="003474E0"/>
    <w:rsid w:val="003477B1"/>
    <w:rsid w:val="0034795D"/>
    <w:rsid w:val="00347FBC"/>
    <w:rsid w:val="00351198"/>
    <w:rsid w:val="00351900"/>
    <w:rsid w:val="00354F11"/>
    <w:rsid w:val="00355601"/>
    <w:rsid w:val="003556FF"/>
    <w:rsid w:val="00356BA0"/>
    <w:rsid w:val="00357380"/>
    <w:rsid w:val="003574B6"/>
    <w:rsid w:val="003575C2"/>
    <w:rsid w:val="00357B6D"/>
    <w:rsid w:val="00357C5C"/>
    <w:rsid w:val="003602D9"/>
    <w:rsid w:val="003604CE"/>
    <w:rsid w:val="00360561"/>
    <w:rsid w:val="00360CAC"/>
    <w:rsid w:val="00360FD6"/>
    <w:rsid w:val="0036111F"/>
    <w:rsid w:val="00361B2F"/>
    <w:rsid w:val="003621A8"/>
    <w:rsid w:val="00362B21"/>
    <w:rsid w:val="00363396"/>
    <w:rsid w:val="00364C22"/>
    <w:rsid w:val="00365281"/>
    <w:rsid w:val="00365362"/>
    <w:rsid w:val="00365766"/>
    <w:rsid w:val="00365D42"/>
    <w:rsid w:val="00366297"/>
    <w:rsid w:val="003671C6"/>
    <w:rsid w:val="003671FD"/>
    <w:rsid w:val="0036775B"/>
    <w:rsid w:val="00367F6B"/>
    <w:rsid w:val="00370338"/>
    <w:rsid w:val="003703C8"/>
    <w:rsid w:val="00370DD5"/>
    <w:rsid w:val="00370E47"/>
    <w:rsid w:val="00371752"/>
    <w:rsid w:val="0037214E"/>
    <w:rsid w:val="00372355"/>
    <w:rsid w:val="003725B7"/>
    <w:rsid w:val="0037261C"/>
    <w:rsid w:val="00372B66"/>
    <w:rsid w:val="00372EB3"/>
    <w:rsid w:val="00373201"/>
    <w:rsid w:val="00373538"/>
    <w:rsid w:val="00373D9A"/>
    <w:rsid w:val="003742AC"/>
    <w:rsid w:val="003746CC"/>
    <w:rsid w:val="00374C67"/>
    <w:rsid w:val="003755E3"/>
    <w:rsid w:val="00375BE6"/>
    <w:rsid w:val="00376175"/>
    <w:rsid w:val="00377127"/>
    <w:rsid w:val="00377CE1"/>
    <w:rsid w:val="00380062"/>
    <w:rsid w:val="003800D9"/>
    <w:rsid w:val="00380A7E"/>
    <w:rsid w:val="00381664"/>
    <w:rsid w:val="00381FF0"/>
    <w:rsid w:val="003826D7"/>
    <w:rsid w:val="00383122"/>
    <w:rsid w:val="0038314F"/>
    <w:rsid w:val="00383F8B"/>
    <w:rsid w:val="00383FEC"/>
    <w:rsid w:val="003850C5"/>
    <w:rsid w:val="003852DC"/>
    <w:rsid w:val="00385BF0"/>
    <w:rsid w:val="003864CF"/>
    <w:rsid w:val="00386836"/>
    <w:rsid w:val="00386AAB"/>
    <w:rsid w:val="0038781A"/>
    <w:rsid w:val="00390055"/>
    <w:rsid w:val="00390B31"/>
    <w:rsid w:val="00391EFD"/>
    <w:rsid w:val="0039231A"/>
    <w:rsid w:val="00392C05"/>
    <w:rsid w:val="003939FF"/>
    <w:rsid w:val="00394451"/>
    <w:rsid w:val="003948E4"/>
    <w:rsid w:val="00395471"/>
    <w:rsid w:val="0039591B"/>
    <w:rsid w:val="00395A52"/>
    <w:rsid w:val="00395FF1"/>
    <w:rsid w:val="00396161"/>
    <w:rsid w:val="003963AA"/>
    <w:rsid w:val="003963E6"/>
    <w:rsid w:val="0039654C"/>
    <w:rsid w:val="003966AD"/>
    <w:rsid w:val="00396784"/>
    <w:rsid w:val="00396A93"/>
    <w:rsid w:val="00396D18"/>
    <w:rsid w:val="003970C9"/>
    <w:rsid w:val="00397FA1"/>
    <w:rsid w:val="003A06F5"/>
    <w:rsid w:val="003A078A"/>
    <w:rsid w:val="003A15D5"/>
    <w:rsid w:val="003A165F"/>
    <w:rsid w:val="003A17BA"/>
    <w:rsid w:val="003A18AE"/>
    <w:rsid w:val="003A2223"/>
    <w:rsid w:val="003A2A0F"/>
    <w:rsid w:val="003A2D00"/>
    <w:rsid w:val="003A43D5"/>
    <w:rsid w:val="003A45A1"/>
    <w:rsid w:val="003A4826"/>
    <w:rsid w:val="003A4A18"/>
    <w:rsid w:val="003A52FA"/>
    <w:rsid w:val="003A559F"/>
    <w:rsid w:val="003A58B8"/>
    <w:rsid w:val="003A5B0A"/>
    <w:rsid w:val="003A60C9"/>
    <w:rsid w:val="003A6185"/>
    <w:rsid w:val="003A657B"/>
    <w:rsid w:val="003A6629"/>
    <w:rsid w:val="003A6BAC"/>
    <w:rsid w:val="003A6C6C"/>
    <w:rsid w:val="003A6F2A"/>
    <w:rsid w:val="003A70A4"/>
    <w:rsid w:val="003A7218"/>
    <w:rsid w:val="003A7641"/>
    <w:rsid w:val="003A7693"/>
    <w:rsid w:val="003A76C2"/>
    <w:rsid w:val="003A773E"/>
    <w:rsid w:val="003A7B3F"/>
    <w:rsid w:val="003A7E24"/>
    <w:rsid w:val="003A7EF3"/>
    <w:rsid w:val="003B0CD0"/>
    <w:rsid w:val="003B0E91"/>
    <w:rsid w:val="003B1465"/>
    <w:rsid w:val="003B159C"/>
    <w:rsid w:val="003B21B4"/>
    <w:rsid w:val="003B2611"/>
    <w:rsid w:val="003B28CB"/>
    <w:rsid w:val="003B2924"/>
    <w:rsid w:val="003B2D4B"/>
    <w:rsid w:val="003B2F72"/>
    <w:rsid w:val="003B369F"/>
    <w:rsid w:val="003B36A3"/>
    <w:rsid w:val="003B3F2F"/>
    <w:rsid w:val="003B4071"/>
    <w:rsid w:val="003B4766"/>
    <w:rsid w:val="003B4E08"/>
    <w:rsid w:val="003B504D"/>
    <w:rsid w:val="003B50D6"/>
    <w:rsid w:val="003B52F2"/>
    <w:rsid w:val="003B5575"/>
    <w:rsid w:val="003B64BB"/>
    <w:rsid w:val="003B6A09"/>
    <w:rsid w:val="003B6CB4"/>
    <w:rsid w:val="003B6F0C"/>
    <w:rsid w:val="003B7247"/>
    <w:rsid w:val="003B741F"/>
    <w:rsid w:val="003B7CEE"/>
    <w:rsid w:val="003B7FE5"/>
    <w:rsid w:val="003C03D7"/>
    <w:rsid w:val="003C0A14"/>
    <w:rsid w:val="003C10FF"/>
    <w:rsid w:val="003C11C8"/>
    <w:rsid w:val="003C1F09"/>
    <w:rsid w:val="003C2702"/>
    <w:rsid w:val="003C3083"/>
    <w:rsid w:val="003C3970"/>
    <w:rsid w:val="003C3C1B"/>
    <w:rsid w:val="003C3EE6"/>
    <w:rsid w:val="003C677F"/>
    <w:rsid w:val="003C69DC"/>
    <w:rsid w:val="003C6A3F"/>
    <w:rsid w:val="003C72A3"/>
    <w:rsid w:val="003C7478"/>
    <w:rsid w:val="003C7806"/>
    <w:rsid w:val="003C7D9D"/>
    <w:rsid w:val="003D0D7A"/>
    <w:rsid w:val="003D109F"/>
    <w:rsid w:val="003D1AC4"/>
    <w:rsid w:val="003D1BF0"/>
    <w:rsid w:val="003D1D40"/>
    <w:rsid w:val="003D2221"/>
    <w:rsid w:val="003D2478"/>
    <w:rsid w:val="003D3790"/>
    <w:rsid w:val="003D3C45"/>
    <w:rsid w:val="003D4136"/>
    <w:rsid w:val="003D4A07"/>
    <w:rsid w:val="003D569A"/>
    <w:rsid w:val="003D5B1F"/>
    <w:rsid w:val="003D5C6D"/>
    <w:rsid w:val="003D5CC5"/>
    <w:rsid w:val="003D60C5"/>
    <w:rsid w:val="003D6258"/>
    <w:rsid w:val="003D629D"/>
    <w:rsid w:val="003D651A"/>
    <w:rsid w:val="003D6B86"/>
    <w:rsid w:val="003D6D06"/>
    <w:rsid w:val="003D6D41"/>
    <w:rsid w:val="003D6D51"/>
    <w:rsid w:val="003D6FBD"/>
    <w:rsid w:val="003D73E8"/>
    <w:rsid w:val="003D7724"/>
    <w:rsid w:val="003D7917"/>
    <w:rsid w:val="003D7F0C"/>
    <w:rsid w:val="003E0AB4"/>
    <w:rsid w:val="003E15FA"/>
    <w:rsid w:val="003E19BB"/>
    <w:rsid w:val="003E1A3F"/>
    <w:rsid w:val="003E1F05"/>
    <w:rsid w:val="003E22F4"/>
    <w:rsid w:val="003E3021"/>
    <w:rsid w:val="003E33A4"/>
    <w:rsid w:val="003E419F"/>
    <w:rsid w:val="003E4367"/>
    <w:rsid w:val="003E4391"/>
    <w:rsid w:val="003E44A9"/>
    <w:rsid w:val="003E51D0"/>
    <w:rsid w:val="003E531D"/>
    <w:rsid w:val="003E55E4"/>
    <w:rsid w:val="003E5A3B"/>
    <w:rsid w:val="003E5C82"/>
    <w:rsid w:val="003E5FB9"/>
    <w:rsid w:val="003E6AA8"/>
    <w:rsid w:val="003E6BA4"/>
    <w:rsid w:val="003E6C4A"/>
    <w:rsid w:val="003E6D92"/>
    <w:rsid w:val="003E72DC"/>
    <w:rsid w:val="003E74E3"/>
    <w:rsid w:val="003E7A8E"/>
    <w:rsid w:val="003F0052"/>
    <w:rsid w:val="003F058F"/>
    <w:rsid w:val="003F05C7"/>
    <w:rsid w:val="003F09C1"/>
    <w:rsid w:val="003F1644"/>
    <w:rsid w:val="003F1DBF"/>
    <w:rsid w:val="003F242A"/>
    <w:rsid w:val="003F299D"/>
    <w:rsid w:val="003F2CD4"/>
    <w:rsid w:val="003F31AE"/>
    <w:rsid w:val="003F335B"/>
    <w:rsid w:val="003F37CC"/>
    <w:rsid w:val="003F38A6"/>
    <w:rsid w:val="003F38EF"/>
    <w:rsid w:val="003F3B8D"/>
    <w:rsid w:val="003F68A4"/>
    <w:rsid w:val="003F6BBE"/>
    <w:rsid w:val="003F726D"/>
    <w:rsid w:val="003F755F"/>
    <w:rsid w:val="003F77F7"/>
    <w:rsid w:val="003F78DB"/>
    <w:rsid w:val="004000E8"/>
    <w:rsid w:val="00400798"/>
    <w:rsid w:val="004014CB"/>
    <w:rsid w:val="00402E2B"/>
    <w:rsid w:val="0040335E"/>
    <w:rsid w:val="00403D9F"/>
    <w:rsid w:val="004044A8"/>
    <w:rsid w:val="0040512B"/>
    <w:rsid w:val="00405208"/>
    <w:rsid w:val="00405CA5"/>
    <w:rsid w:val="00405DFD"/>
    <w:rsid w:val="0040632D"/>
    <w:rsid w:val="00406644"/>
    <w:rsid w:val="004068C6"/>
    <w:rsid w:val="00406C91"/>
    <w:rsid w:val="00407998"/>
    <w:rsid w:val="00407CD3"/>
    <w:rsid w:val="00410134"/>
    <w:rsid w:val="00410402"/>
    <w:rsid w:val="00410ADF"/>
    <w:rsid w:val="00410B72"/>
    <w:rsid w:val="00410F18"/>
    <w:rsid w:val="004113F3"/>
    <w:rsid w:val="00411417"/>
    <w:rsid w:val="00411A50"/>
    <w:rsid w:val="00412551"/>
    <w:rsid w:val="0041263E"/>
    <w:rsid w:val="00412FF3"/>
    <w:rsid w:val="004131CF"/>
    <w:rsid w:val="00413AAC"/>
    <w:rsid w:val="00413E92"/>
    <w:rsid w:val="004140BC"/>
    <w:rsid w:val="00415139"/>
    <w:rsid w:val="00415151"/>
    <w:rsid w:val="00415301"/>
    <w:rsid w:val="00415413"/>
    <w:rsid w:val="0041556E"/>
    <w:rsid w:val="00416521"/>
    <w:rsid w:val="00417A26"/>
    <w:rsid w:val="00420286"/>
    <w:rsid w:val="004205AF"/>
    <w:rsid w:val="00420C81"/>
    <w:rsid w:val="00421105"/>
    <w:rsid w:val="0042162C"/>
    <w:rsid w:val="00421972"/>
    <w:rsid w:val="00421F7B"/>
    <w:rsid w:val="0042235D"/>
    <w:rsid w:val="00422AA4"/>
    <w:rsid w:val="00422DC0"/>
    <w:rsid w:val="00422EC7"/>
    <w:rsid w:val="0042349C"/>
    <w:rsid w:val="00424253"/>
    <w:rsid w:val="004242F4"/>
    <w:rsid w:val="00425073"/>
    <w:rsid w:val="0042517B"/>
    <w:rsid w:val="004252DC"/>
    <w:rsid w:val="00425A7F"/>
    <w:rsid w:val="00425DA9"/>
    <w:rsid w:val="00426599"/>
    <w:rsid w:val="004268CD"/>
    <w:rsid w:val="00427248"/>
    <w:rsid w:val="0042749C"/>
    <w:rsid w:val="004307E1"/>
    <w:rsid w:val="00430AB1"/>
    <w:rsid w:val="00430D07"/>
    <w:rsid w:val="00431737"/>
    <w:rsid w:val="00431787"/>
    <w:rsid w:val="00431C7D"/>
    <w:rsid w:val="00432313"/>
    <w:rsid w:val="00433124"/>
    <w:rsid w:val="00433D94"/>
    <w:rsid w:val="00434A77"/>
    <w:rsid w:val="00434EC7"/>
    <w:rsid w:val="00435D70"/>
    <w:rsid w:val="0043708D"/>
    <w:rsid w:val="00437422"/>
    <w:rsid w:val="00437447"/>
    <w:rsid w:val="00440411"/>
    <w:rsid w:val="004407C5"/>
    <w:rsid w:val="00440E41"/>
    <w:rsid w:val="00441063"/>
    <w:rsid w:val="00441A92"/>
    <w:rsid w:val="00441AE6"/>
    <w:rsid w:val="00441EC3"/>
    <w:rsid w:val="004426F5"/>
    <w:rsid w:val="00442805"/>
    <w:rsid w:val="00442DCD"/>
    <w:rsid w:val="00442EF2"/>
    <w:rsid w:val="004431DC"/>
    <w:rsid w:val="00443615"/>
    <w:rsid w:val="00443F17"/>
    <w:rsid w:val="004445C8"/>
    <w:rsid w:val="004448A9"/>
    <w:rsid w:val="00444F56"/>
    <w:rsid w:val="004450C3"/>
    <w:rsid w:val="0044529B"/>
    <w:rsid w:val="004457CE"/>
    <w:rsid w:val="00445F9C"/>
    <w:rsid w:val="00446488"/>
    <w:rsid w:val="004474B6"/>
    <w:rsid w:val="004477CF"/>
    <w:rsid w:val="00450263"/>
    <w:rsid w:val="0045078F"/>
    <w:rsid w:val="00450955"/>
    <w:rsid w:val="0045164B"/>
    <w:rsid w:val="004517AA"/>
    <w:rsid w:val="00451D12"/>
    <w:rsid w:val="004527D3"/>
    <w:rsid w:val="00452CAC"/>
    <w:rsid w:val="00453D61"/>
    <w:rsid w:val="00454245"/>
    <w:rsid w:val="004548B2"/>
    <w:rsid w:val="004549B0"/>
    <w:rsid w:val="00455883"/>
    <w:rsid w:val="00457565"/>
    <w:rsid w:val="00457B71"/>
    <w:rsid w:val="00457CD3"/>
    <w:rsid w:val="00460B3E"/>
    <w:rsid w:val="0046108D"/>
    <w:rsid w:val="004613D3"/>
    <w:rsid w:val="004617AD"/>
    <w:rsid w:val="004626A2"/>
    <w:rsid w:val="00462E62"/>
    <w:rsid w:val="00462F28"/>
    <w:rsid w:val="004630E1"/>
    <w:rsid w:val="00463273"/>
    <w:rsid w:val="004638E6"/>
    <w:rsid w:val="00463C00"/>
    <w:rsid w:val="00463DA3"/>
    <w:rsid w:val="00463DD9"/>
    <w:rsid w:val="00463E2C"/>
    <w:rsid w:val="004641B1"/>
    <w:rsid w:val="00464689"/>
    <w:rsid w:val="00464E87"/>
    <w:rsid w:val="004657C6"/>
    <w:rsid w:val="00465E24"/>
    <w:rsid w:val="0046632E"/>
    <w:rsid w:val="00466578"/>
    <w:rsid w:val="00466685"/>
    <w:rsid w:val="004669E2"/>
    <w:rsid w:val="00467125"/>
    <w:rsid w:val="0046739F"/>
    <w:rsid w:val="004673C9"/>
    <w:rsid w:val="00467E72"/>
    <w:rsid w:val="00467FFB"/>
    <w:rsid w:val="00470577"/>
    <w:rsid w:val="00470C31"/>
    <w:rsid w:val="00470E64"/>
    <w:rsid w:val="00471815"/>
    <w:rsid w:val="00471B28"/>
    <w:rsid w:val="00471DAD"/>
    <w:rsid w:val="00471DE0"/>
    <w:rsid w:val="00471DFC"/>
    <w:rsid w:val="00471FD9"/>
    <w:rsid w:val="00472356"/>
    <w:rsid w:val="004734D0"/>
    <w:rsid w:val="0047449F"/>
    <w:rsid w:val="0047556B"/>
    <w:rsid w:val="00475907"/>
    <w:rsid w:val="00475AD3"/>
    <w:rsid w:val="00476871"/>
    <w:rsid w:val="00477724"/>
    <w:rsid w:val="00477768"/>
    <w:rsid w:val="004778B2"/>
    <w:rsid w:val="004809F7"/>
    <w:rsid w:val="00480AAD"/>
    <w:rsid w:val="00481F5D"/>
    <w:rsid w:val="0048244E"/>
    <w:rsid w:val="00482830"/>
    <w:rsid w:val="00483131"/>
    <w:rsid w:val="0048326D"/>
    <w:rsid w:val="00483275"/>
    <w:rsid w:val="0048328D"/>
    <w:rsid w:val="00483540"/>
    <w:rsid w:val="00483970"/>
    <w:rsid w:val="00483A57"/>
    <w:rsid w:val="00483CB5"/>
    <w:rsid w:val="00484841"/>
    <w:rsid w:val="00485C24"/>
    <w:rsid w:val="00486B4D"/>
    <w:rsid w:val="00486E3A"/>
    <w:rsid w:val="00486FE5"/>
    <w:rsid w:val="004873A5"/>
    <w:rsid w:val="00487C1B"/>
    <w:rsid w:val="00487CEA"/>
    <w:rsid w:val="00490365"/>
    <w:rsid w:val="0049069B"/>
    <w:rsid w:val="0049101D"/>
    <w:rsid w:val="00491393"/>
    <w:rsid w:val="0049199A"/>
    <w:rsid w:val="00492BC5"/>
    <w:rsid w:val="00493333"/>
    <w:rsid w:val="0049391E"/>
    <w:rsid w:val="00494205"/>
    <w:rsid w:val="004947E3"/>
    <w:rsid w:val="004960D4"/>
    <w:rsid w:val="004964F1"/>
    <w:rsid w:val="00496EFF"/>
    <w:rsid w:val="00497C7E"/>
    <w:rsid w:val="00497C8E"/>
    <w:rsid w:val="004A023F"/>
    <w:rsid w:val="004A0829"/>
    <w:rsid w:val="004A0AE1"/>
    <w:rsid w:val="004A0CE1"/>
    <w:rsid w:val="004A0D58"/>
    <w:rsid w:val="004A146C"/>
    <w:rsid w:val="004A1519"/>
    <w:rsid w:val="004A16BC"/>
    <w:rsid w:val="004A16F3"/>
    <w:rsid w:val="004A18C8"/>
    <w:rsid w:val="004A230A"/>
    <w:rsid w:val="004A2404"/>
    <w:rsid w:val="004A2B94"/>
    <w:rsid w:val="004A39AA"/>
    <w:rsid w:val="004A3CD4"/>
    <w:rsid w:val="004A4A40"/>
    <w:rsid w:val="004A4BDC"/>
    <w:rsid w:val="004A5C69"/>
    <w:rsid w:val="004A64DA"/>
    <w:rsid w:val="004A7045"/>
    <w:rsid w:val="004A73E9"/>
    <w:rsid w:val="004A7C44"/>
    <w:rsid w:val="004A7CDE"/>
    <w:rsid w:val="004B0058"/>
    <w:rsid w:val="004B09D9"/>
    <w:rsid w:val="004B16C7"/>
    <w:rsid w:val="004B1C44"/>
    <w:rsid w:val="004B2AED"/>
    <w:rsid w:val="004B2FC0"/>
    <w:rsid w:val="004B3692"/>
    <w:rsid w:val="004B3BED"/>
    <w:rsid w:val="004B40A7"/>
    <w:rsid w:val="004B61D2"/>
    <w:rsid w:val="004B6284"/>
    <w:rsid w:val="004B6A2B"/>
    <w:rsid w:val="004B6F6A"/>
    <w:rsid w:val="004B70C2"/>
    <w:rsid w:val="004B72E1"/>
    <w:rsid w:val="004B74EF"/>
    <w:rsid w:val="004B787C"/>
    <w:rsid w:val="004B78A3"/>
    <w:rsid w:val="004B7C0C"/>
    <w:rsid w:val="004B7DDD"/>
    <w:rsid w:val="004C00A9"/>
    <w:rsid w:val="004C020A"/>
    <w:rsid w:val="004C0702"/>
    <w:rsid w:val="004C0B0B"/>
    <w:rsid w:val="004C186E"/>
    <w:rsid w:val="004C2910"/>
    <w:rsid w:val="004C3207"/>
    <w:rsid w:val="004C3898"/>
    <w:rsid w:val="004C430C"/>
    <w:rsid w:val="004C4A11"/>
    <w:rsid w:val="004C4EC6"/>
    <w:rsid w:val="004C531E"/>
    <w:rsid w:val="004C570A"/>
    <w:rsid w:val="004C59A7"/>
    <w:rsid w:val="004C628D"/>
    <w:rsid w:val="004C6812"/>
    <w:rsid w:val="004C6E8E"/>
    <w:rsid w:val="004C700E"/>
    <w:rsid w:val="004C7D8B"/>
    <w:rsid w:val="004D0013"/>
    <w:rsid w:val="004D00D5"/>
    <w:rsid w:val="004D0756"/>
    <w:rsid w:val="004D08BB"/>
    <w:rsid w:val="004D0B89"/>
    <w:rsid w:val="004D119C"/>
    <w:rsid w:val="004D15CC"/>
    <w:rsid w:val="004D1929"/>
    <w:rsid w:val="004D1ECD"/>
    <w:rsid w:val="004D2C34"/>
    <w:rsid w:val="004D30BC"/>
    <w:rsid w:val="004D3433"/>
    <w:rsid w:val="004D36B1"/>
    <w:rsid w:val="004D3930"/>
    <w:rsid w:val="004D3D72"/>
    <w:rsid w:val="004D3F96"/>
    <w:rsid w:val="004D43C7"/>
    <w:rsid w:val="004D49C2"/>
    <w:rsid w:val="004D5444"/>
    <w:rsid w:val="004D5762"/>
    <w:rsid w:val="004D5D08"/>
    <w:rsid w:val="004D6AF6"/>
    <w:rsid w:val="004D6C6B"/>
    <w:rsid w:val="004D6DE5"/>
    <w:rsid w:val="004D7107"/>
    <w:rsid w:val="004D753F"/>
    <w:rsid w:val="004D7D04"/>
    <w:rsid w:val="004D7DFF"/>
    <w:rsid w:val="004D7EBD"/>
    <w:rsid w:val="004E00FA"/>
    <w:rsid w:val="004E05D9"/>
    <w:rsid w:val="004E092A"/>
    <w:rsid w:val="004E095A"/>
    <w:rsid w:val="004E0E8B"/>
    <w:rsid w:val="004E1722"/>
    <w:rsid w:val="004E1FDF"/>
    <w:rsid w:val="004E2680"/>
    <w:rsid w:val="004E28F9"/>
    <w:rsid w:val="004E462E"/>
    <w:rsid w:val="004E4CDD"/>
    <w:rsid w:val="004E4CEA"/>
    <w:rsid w:val="004E50D9"/>
    <w:rsid w:val="004E5118"/>
    <w:rsid w:val="004E5229"/>
    <w:rsid w:val="004E566F"/>
    <w:rsid w:val="004E56DC"/>
    <w:rsid w:val="004E5E07"/>
    <w:rsid w:val="004E637E"/>
    <w:rsid w:val="004E6636"/>
    <w:rsid w:val="004E6713"/>
    <w:rsid w:val="004E68F1"/>
    <w:rsid w:val="004E6FA0"/>
    <w:rsid w:val="004E7639"/>
    <w:rsid w:val="004E76F4"/>
    <w:rsid w:val="004E7B61"/>
    <w:rsid w:val="004F0B4E"/>
    <w:rsid w:val="004F0B6C"/>
    <w:rsid w:val="004F0F61"/>
    <w:rsid w:val="004F0FFF"/>
    <w:rsid w:val="004F2078"/>
    <w:rsid w:val="004F251A"/>
    <w:rsid w:val="004F28A5"/>
    <w:rsid w:val="004F2E9C"/>
    <w:rsid w:val="004F3C55"/>
    <w:rsid w:val="004F4B1B"/>
    <w:rsid w:val="004F4DA3"/>
    <w:rsid w:val="004F4FBB"/>
    <w:rsid w:val="004F604A"/>
    <w:rsid w:val="004F6CB0"/>
    <w:rsid w:val="004F7A83"/>
    <w:rsid w:val="004F7C1D"/>
    <w:rsid w:val="004F7E70"/>
    <w:rsid w:val="00501383"/>
    <w:rsid w:val="0050192E"/>
    <w:rsid w:val="00501C87"/>
    <w:rsid w:val="00502184"/>
    <w:rsid w:val="005023C0"/>
    <w:rsid w:val="0050258B"/>
    <w:rsid w:val="00503849"/>
    <w:rsid w:val="005038E5"/>
    <w:rsid w:val="00503B64"/>
    <w:rsid w:val="005040FB"/>
    <w:rsid w:val="0050435B"/>
    <w:rsid w:val="00504E37"/>
    <w:rsid w:val="00505E88"/>
    <w:rsid w:val="00506557"/>
    <w:rsid w:val="0050677A"/>
    <w:rsid w:val="00506D9E"/>
    <w:rsid w:val="005070CE"/>
    <w:rsid w:val="005100B8"/>
    <w:rsid w:val="00510473"/>
    <w:rsid w:val="005108D8"/>
    <w:rsid w:val="00510E31"/>
    <w:rsid w:val="005116F9"/>
    <w:rsid w:val="00511F26"/>
    <w:rsid w:val="00512561"/>
    <w:rsid w:val="00512A74"/>
    <w:rsid w:val="0051361A"/>
    <w:rsid w:val="00514B2A"/>
    <w:rsid w:val="00514D35"/>
    <w:rsid w:val="005153A7"/>
    <w:rsid w:val="00515604"/>
    <w:rsid w:val="00515624"/>
    <w:rsid w:val="0051587B"/>
    <w:rsid w:val="00515A66"/>
    <w:rsid w:val="0051612E"/>
    <w:rsid w:val="00516D47"/>
    <w:rsid w:val="00516E73"/>
    <w:rsid w:val="005179D4"/>
    <w:rsid w:val="00517CE4"/>
    <w:rsid w:val="005200B7"/>
    <w:rsid w:val="00520377"/>
    <w:rsid w:val="00520B86"/>
    <w:rsid w:val="00520C04"/>
    <w:rsid w:val="005218B1"/>
    <w:rsid w:val="005219CF"/>
    <w:rsid w:val="00521EF4"/>
    <w:rsid w:val="0052266C"/>
    <w:rsid w:val="00522D94"/>
    <w:rsid w:val="00523270"/>
    <w:rsid w:val="00523ED4"/>
    <w:rsid w:val="0052428E"/>
    <w:rsid w:val="00524821"/>
    <w:rsid w:val="00524A64"/>
    <w:rsid w:val="00524AE2"/>
    <w:rsid w:val="00525556"/>
    <w:rsid w:val="005255BF"/>
    <w:rsid w:val="0052578F"/>
    <w:rsid w:val="00525845"/>
    <w:rsid w:val="00525927"/>
    <w:rsid w:val="005261B5"/>
    <w:rsid w:val="00526707"/>
    <w:rsid w:val="00526F58"/>
    <w:rsid w:val="00526FD2"/>
    <w:rsid w:val="00527985"/>
    <w:rsid w:val="00527D78"/>
    <w:rsid w:val="00527E8A"/>
    <w:rsid w:val="00527FD6"/>
    <w:rsid w:val="005311BA"/>
    <w:rsid w:val="0053153F"/>
    <w:rsid w:val="00531548"/>
    <w:rsid w:val="00531B37"/>
    <w:rsid w:val="00531BB2"/>
    <w:rsid w:val="005332B1"/>
    <w:rsid w:val="00534B59"/>
    <w:rsid w:val="00534D74"/>
    <w:rsid w:val="005363A7"/>
    <w:rsid w:val="00536759"/>
    <w:rsid w:val="00536D05"/>
    <w:rsid w:val="00537462"/>
    <w:rsid w:val="00537C62"/>
    <w:rsid w:val="00537EBE"/>
    <w:rsid w:val="00537F2B"/>
    <w:rsid w:val="005403DA"/>
    <w:rsid w:val="00540420"/>
    <w:rsid w:val="005404D3"/>
    <w:rsid w:val="00540803"/>
    <w:rsid w:val="00541C55"/>
    <w:rsid w:val="005420FD"/>
    <w:rsid w:val="0054255F"/>
    <w:rsid w:val="0054299E"/>
    <w:rsid w:val="00543002"/>
    <w:rsid w:val="00543B96"/>
    <w:rsid w:val="00543E0C"/>
    <w:rsid w:val="005441D7"/>
    <w:rsid w:val="00544C5F"/>
    <w:rsid w:val="00545054"/>
    <w:rsid w:val="005453A0"/>
    <w:rsid w:val="00545DBC"/>
    <w:rsid w:val="005465C8"/>
    <w:rsid w:val="00546803"/>
    <w:rsid w:val="00546970"/>
    <w:rsid w:val="00546E6E"/>
    <w:rsid w:val="0054746D"/>
    <w:rsid w:val="0054791A"/>
    <w:rsid w:val="005519AA"/>
    <w:rsid w:val="005524CD"/>
    <w:rsid w:val="00552960"/>
    <w:rsid w:val="00552FA0"/>
    <w:rsid w:val="00553425"/>
    <w:rsid w:val="00553B17"/>
    <w:rsid w:val="00554885"/>
    <w:rsid w:val="00554A34"/>
    <w:rsid w:val="00554E19"/>
    <w:rsid w:val="00554ED5"/>
    <w:rsid w:val="005551A9"/>
    <w:rsid w:val="00555C65"/>
    <w:rsid w:val="005567FA"/>
    <w:rsid w:val="00556DF9"/>
    <w:rsid w:val="005571F9"/>
    <w:rsid w:val="00557FBD"/>
    <w:rsid w:val="00560381"/>
    <w:rsid w:val="00560D6F"/>
    <w:rsid w:val="00560F5C"/>
    <w:rsid w:val="0056121F"/>
    <w:rsid w:val="00561E37"/>
    <w:rsid w:val="00563670"/>
    <w:rsid w:val="0056378E"/>
    <w:rsid w:val="00563DDB"/>
    <w:rsid w:val="00563FE0"/>
    <w:rsid w:val="0056488C"/>
    <w:rsid w:val="00564C5A"/>
    <w:rsid w:val="00565327"/>
    <w:rsid w:val="0056577C"/>
    <w:rsid w:val="005661A5"/>
    <w:rsid w:val="0056639F"/>
    <w:rsid w:val="0056767A"/>
    <w:rsid w:val="0056788B"/>
    <w:rsid w:val="00567D64"/>
    <w:rsid w:val="00570A04"/>
    <w:rsid w:val="00571272"/>
    <w:rsid w:val="00571339"/>
    <w:rsid w:val="00571CDF"/>
    <w:rsid w:val="005724DB"/>
    <w:rsid w:val="00572505"/>
    <w:rsid w:val="005727DC"/>
    <w:rsid w:val="005738F6"/>
    <w:rsid w:val="00574CA8"/>
    <w:rsid w:val="00574F84"/>
    <w:rsid w:val="00575BC8"/>
    <w:rsid w:val="00576452"/>
    <w:rsid w:val="00576555"/>
    <w:rsid w:val="00576C04"/>
    <w:rsid w:val="00577224"/>
    <w:rsid w:val="00577865"/>
    <w:rsid w:val="00577A1D"/>
    <w:rsid w:val="00577C11"/>
    <w:rsid w:val="00580550"/>
    <w:rsid w:val="0058137E"/>
    <w:rsid w:val="00581D00"/>
    <w:rsid w:val="00582776"/>
    <w:rsid w:val="00582809"/>
    <w:rsid w:val="00584934"/>
    <w:rsid w:val="00584C0C"/>
    <w:rsid w:val="00585B82"/>
    <w:rsid w:val="00585CB4"/>
    <w:rsid w:val="00585DB0"/>
    <w:rsid w:val="00585F3D"/>
    <w:rsid w:val="00586915"/>
    <w:rsid w:val="00586C42"/>
    <w:rsid w:val="00586E84"/>
    <w:rsid w:val="0058738A"/>
    <w:rsid w:val="0058748E"/>
    <w:rsid w:val="005876EA"/>
    <w:rsid w:val="0058798C"/>
    <w:rsid w:val="005900FA"/>
    <w:rsid w:val="0059122A"/>
    <w:rsid w:val="00591574"/>
    <w:rsid w:val="00591A94"/>
    <w:rsid w:val="00591BBF"/>
    <w:rsid w:val="00591CEA"/>
    <w:rsid w:val="005935A4"/>
    <w:rsid w:val="0059373F"/>
    <w:rsid w:val="00593C12"/>
    <w:rsid w:val="00593D80"/>
    <w:rsid w:val="00593F91"/>
    <w:rsid w:val="00594096"/>
    <w:rsid w:val="0059414F"/>
    <w:rsid w:val="00594704"/>
    <w:rsid w:val="005948C2"/>
    <w:rsid w:val="00594E07"/>
    <w:rsid w:val="0059518F"/>
    <w:rsid w:val="0059527B"/>
    <w:rsid w:val="00595552"/>
    <w:rsid w:val="00595830"/>
    <w:rsid w:val="00595AC1"/>
    <w:rsid w:val="00595D85"/>
    <w:rsid w:val="00595DCA"/>
    <w:rsid w:val="00596921"/>
    <w:rsid w:val="00596A94"/>
    <w:rsid w:val="00596DC9"/>
    <w:rsid w:val="00596F01"/>
    <w:rsid w:val="005974DC"/>
    <w:rsid w:val="0059779B"/>
    <w:rsid w:val="00597A88"/>
    <w:rsid w:val="005A10E3"/>
    <w:rsid w:val="005A12CD"/>
    <w:rsid w:val="005A17CC"/>
    <w:rsid w:val="005A1F5D"/>
    <w:rsid w:val="005A209A"/>
    <w:rsid w:val="005A2347"/>
    <w:rsid w:val="005A2B2C"/>
    <w:rsid w:val="005A3566"/>
    <w:rsid w:val="005A371E"/>
    <w:rsid w:val="005A43B2"/>
    <w:rsid w:val="005A4E13"/>
    <w:rsid w:val="005A5012"/>
    <w:rsid w:val="005A6452"/>
    <w:rsid w:val="005A662D"/>
    <w:rsid w:val="005A6E91"/>
    <w:rsid w:val="005A708F"/>
    <w:rsid w:val="005A78B1"/>
    <w:rsid w:val="005A7C28"/>
    <w:rsid w:val="005A7EE7"/>
    <w:rsid w:val="005B0094"/>
    <w:rsid w:val="005B1409"/>
    <w:rsid w:val="005B16CB"/>
    <w:rsid w:val="005B18D0"/>
    <w:rsid w:val="005B1961"/>
    <w:rsid w:val="005B24C2"/>
    <w:rsid w:val="005B262A"/>
    <w:rsid w:val="005B2F85"/>
    <w:rsid w:val="005B31F4"/>
    <w:rsid w:val="005B3393"/>
    <w:rsid w:val="005B35D7"/>
    <w:rsid w:val="005B392A"/>
    <w:rsid w:val="005B3AA3"/>
    <w:rsid w:val="005B3CF2"/>
    <w:rsid w:val="005B42D7"/>
    <w:rsid w:val="005B435E"/>
    <w:rsid w:val="005B44B2"/>
    <w:rsid w:val="005B4684"/>
    <w:rsid w:val="005B49BB"/>
    <w:rsid w:val="005B4FAA"/>
    <w:rsid w:val="005B569A"/>
    <w:rsid w:val="005B610C"/>
    <w:rsid w:val="005B615A"/>
    <w:rsid w:val="005B6228"/>
    <w:rsid w:val="005B63FC"/>
    <w:rsid w:val="005B66B8"/>
    <w:rsid w:val="005B67EA"/>
    <w:rsid w:val="005B6F83"/>
    <w:rsid w:val="005B784E"/>
    <w:rsid w:val="005B7E2C"/>
    <w:rsid w:val="005C0925"/>
    <w:rsid w:val="005C0C06"/>
    <w:rsid w:val="005C0EA0"/>
    <w:rsid w:val="005C1078"/>
    <w:rsid w:val="005C1D4E"/>
    <w:rsid w:val="005C265E"/>
    <w:rsid w:val="005C335B"/>
    <w:rsid w:val="005C3DB5"/>
    <w:rsid w:val="005C4841"/>
    <w:rsid w:val="005C4E05"/>
    <w:rsid w:val="005C5303"/>
    <w:rsid w:val="005C74FB"/>
    <w:rsid w:val="005C7721"/>
    <w:rsid w:val="005C7DC3"/>
    <w:rsid w:val="005D004D"/>
    <w:rsid w:val="005D02AA"/>
    <w:rsid w:val="005D030E"/>
    <w:rsid w:val="005D0B6E"/>
    <w:rsid w:val="005D0E98"/>
    <w:rsid w:val="005D1602"/>
    <w:rsid w:val="005D182C"/>
    <w:rsid w:val="005D2271"/>
    <w:rsid w:val="005D311B"/>
    <w:rsid w:val="005D39BF"/>
    <w:rsid w:val="005D3D16"/>
    <w:rsid w:val="005D3EAE"/>
    <w:rsid w:val="005D418E"/>
    <w:rsid w:val="005D470C"/>
    <w:rsid w:val="005D51A2"/>
    <w:rsid w:val="005D54D3"/>
    <w:rsid w:val="005D5CFB"/>
    <w:rsid w:val="005D5DB0"/>
    <w:rsid w:val="005D61ED"/>
    <w:rsid w:val="005D6F8F"/>
    <w:rsid w:val="005D7632"/>
    <w:rsid w:val="005D793C"/>
    <w:rsid w:val="005D7AC0"/>
    <w:rsid w:val="005E0D4C"/>
    <w:rsid w:val="005E0DB4"/>
    <w:rsid w:val="005E112D"/>
    <w:rsid w:val="005E11F1"/>
    <w:rsid w:val="005E12AC"/>
    <w:rsid w:val="005E159A"/>
    <w:rsid w:val="005E1639"/>
    <w:rsid w:val="005E2999"/>
    <w:rsid w:val="005E3525"/>
    <w:rsid w:val="005E385F"/>
    <w:rsid w:val="005E5AEE"/>
    <w:rsid w:val="005E5B81"/>
    <w:rsid w:val="005E66EB"/>
    <w:rsid w:val="005E69D8"/>
    <w:rsid w:val="005E73BE"/>
    <w:rsid w:val="005E7F6C"/>
    <w:rsid w:val="005F0654"/>
    <w:rsid w:val="005F0CF3"/>
    <w:rsid w:val="005F0D75"/>
    <w:rsid w:val="005F1DD2"/>
    <w:rsid w:val="005F272C"/>
    <w:rsid w:val="005F284C"/>
    <w:rsid w:val="005F2CA3"/>
    <w:rsid w:val="005F2CB1"/>
    <w:rsid w:val="005F3025"/>
    <w:rsid w:val="005F312B"/>
    <w:rsid w:val="005F32AF"/>
    <w:rsid w:val="005F34EF"/>
    <w:rsid w:val="005F4284"/>
    <w:rsid w:val="005F42E1"/>
    <w:rsid w:val="005F4589"/>
    <w:rsid w:val="005F47B9"/>
    <w:rsid w:val="005F48F6"/>
    <w:rsid w:val="005F4FA9"/>
    <w:rsid w:val="005F618C"/>
    <w:rsid w:val="005F6685"/>
    <w:rsid w:val="005F6834"/>
    <w:rsid w:val="005F70BD"/>
    <w:rsid w:val="00600323"/>
    <w:rsid w:val="006009A4"/>
    <w:rsid w:val="00600C6A"/>
    <w:rsid w:val="00600F10"/>
    <w:rsid w:val="006010EF"/>
    <w:rsid w:val="00601D9A"/>
    <w:rsid w:val="00601EFA"/>
    <w:rsid w:val="0060283C"/>
    <w:rsid w:val="00602B7C"/>
    <w:rsid w:val="00603287"/>
    <w:rsid w:val="0060352A"/>
    <w:rsid w:val="006039AD"/>
    <w:rsid w:val="006049D5"/>
    <w:rsid w:val="00604B90"/>
    <w:rsid w:val="00604F14"/>
    <w:rsid w:val="0060608E"/>
    <w:rsid w:val="00606401"/>
    <w:rsid w:val="006068C9"/>
    <w:rsid w:val="00606CFB"/>
    <w:rsid w:val="006076DC"/>
    <w:rsid w:val="00607AC6"/>
    <w:rsid w:val="0061069E"/>
    <w:rsid w:val="006108FB"/>
    <w:rsid w:val="00610F19"/>
    <w:rsid w:val="006116CA"/>
    <w:rsid w:val="00611775"/>
    <w:rsid w:val="00611941"/>
    <w:rsid w:val="00611AD5"/>
    <w:rsid w:val="00611B83"/>
    <w:rsid w:val="00611CE8"/>
    <w:rsid w:val="006122A5"/>
    <w:rsid w:val="006125C0"/>
    <w:rsid w:val="00613257"/>
    <w:rsid w:val="00613EAF"/>
    <w:rsid w:val="006145CD"/>
    <w:rsid w:val="006151A3"/>
    <w:rsid w:val="0061563F"/>
    <w:rsid w:val="006158BB"/>
    <w:rsid w:val="00615B85"/>
    <w:rsid w:val="00616237"/>
    <w:rsid w:val="006164D0"/>
    <w:rsid w:val="0061667E"/>
    <w:rsid w:val="00616BDD"/>
    <w:rsid w:val="00616CFF"/>
    <w:rsid w:val="0061726D"/>
    <w:rsid w:val="006173A4"/>
    <w:rsid w:val="00617912"/>
    <w:rsid w:val="00620129"/>
    <w:rsid w:val="00620A4F"/>
    <w:rsid w:val="00620A71"/>
    <w:rsid w:val="00620D80"/>
    <w:rsid w:val="00620E7D"/>
    <w:rsid w:val="006218E2"/>
    <w:rsid w:val="00622164"/>
    <w:rsid w:val="00622344"/>
    <w:rsid w:val="00622601"/>
    <w:rsid w:val="00622A08"/>
    <w:rsid w:val="00622BE3"/>
    <w:rsid w:val="006234A6"/>
    <w:rsid w:val="006239A5"/>
    <w:rsid w:val="00624251"/>
    <w:rsid w:val="0062436E"/>
    <w:rsid w:val="0062461F"/>
    <w:rsid w:val="006249E3"/>
    <w:rsid w:val="00625757"/>
    <w:rsid w:val="0062657B"/>
    <w:rsid w:val="006267BF"/>
    <w:rsid w:val="006270FB"/>
    <w:rsid w:val="006271FB"/>
    <w:rsid w:val="00630001"/>
    <w:rsid w:val="0063074E"/>
    <w:rsid w:val="006311B3"/>
    <w:rsid w:val="006313FC"/>
    <w:rsid w:val="0063195E"/>
    <w:rsid w:val="00631D27"/>
    <w:rsid w:val="006320A5"/>
    <w:rsid w:val="00632482"/>
    <w:rsid w:val="0063284C"/>
    <w:rsid w:val="00632A5F"/>
    <w:rsid w:val="00632B09"/>
    <w:rsid w:val="00632C0E"/>
    <w:rsid w:val="00635250"/>
    <w:rsid w:val="00635575"/>
    <w:rsid w:val="00635D16"/>
    <w:rsid w:val="00635D96"/>
    <w:rsid w:val="00635DC5"/>
    <w:rsid w:val="006362A4"/>
    <w:rsid w:val="00636398"/>
    <w:rsid w:val="006368D3"/>
    <w:rsid w:val="00636C93"/>
    <w:rsid w:val="00636D63"/>
    <w:rsid w:val="006377EC"/>
    <w:rsid w:val="0064053B"/>
    <w:rsid w:val="006409ED"/>
    <w:rsid w:val="00640ED8"/>
    <w:rsid w:val="006411DB"/>
    <w:rsid w:val="0064151F"/>
    <w:rsid w:val="00641533"/>
    <w:rsid w:val="00641716"/>
    <w:rsid w:val="00641970"/>
    <w:rsid w:val="0064208D"/>
    <w:rsid w:val="00642FEE"/>
    <w:rsid w:val="0064310B"/>
    <w:rsid w:val="00643353"/>
    <w:rsid w:val="00643407"/>
    <w:rsid w:val="00643475"/>
    <w:rsid w:val="0064363B"/>
    <w:rsid w:val="0064396A"/>
    <w:rsid w:val="00643BB3"/>
    <w:rsid w:val="00644D81"/>
    <w:rsid w:val="00644E80"/>
    <w:rsid w:val="0064519C"/>
    <w:rsid w:val="0064550B"/>
    <w:rsid w:val="00645A0B"/>
    <w:rsid w:val="00645FE7"/>
    <w:rsid w:val="0064624E"/>
    <w:rsid w:val="00647205"/>
    <w:rsid w:val="00650AB9"/>
    <w:rsid w:val="0065121A"/>
    <w:rsid w:val="00651CCC"/>
    <w:rsid w:val="0065209D"/>
    <w:rsid w:val="00652228"/>
    <w:rsid w:val="00653550"/>
    <w:rsid w:val="00653B00"/>
    <w:rsid w:val="00653C3F"/>
    <w:rsid w:val="00654E4A"/>
    <w:rsid w:val="00654E96"/>
    <w:rsid w:val="006551D5"/>
    <w:rsid w:val="0065563B"/>
    <w:rsid w:val="00655733"/>
    <w:rsid w:val="0065579E"/>
    <w:rsid w:val="00655ACD"/>
    <w:rsid w:val="00655EB6"/>
    <w:rsid w:val="006563F7"/>
    <w:rsid w:val="00656A92"/>
    <w:rsid w:val="00656DDE"/>
    <w:rsid w:val="00657725"/>
    <w:rsid w:val="00657C66"/>
    <w:rsid w:val="0066011D"/>
    <w:rsid w:val="00660393"/>
    <w:rsid w:val="006607C0"/>
    <w:rsid w:val="00660D9C"/>
    <w:rsid w:val="006613A6"/>
    <w:rsid w:val="00661616"/>
    <w:rsid w:val="006618AD"/>
    <w:rsid w:val="00661900"/>
    <w:rsid w:val="00661B57"/>
    <w:rsid w:val="00662625"/>
    <w:rsid w:val="0066271E"/>
    <w:rsid w:val="00662778"/>
    <w:rsid w:val="006627A2"/>
    <w:rsid w:val="00663182"/>
    <w:rsid w:val="006634E6"/>
    <w:rsid w:val="0066360D"/>
    <w:rsid w:val="00663723"/>
    <w:rsid w:val="006642D4"/>
    <w:rsid w:val="0066507D"/>
    <w:rsid w:val="006654C8"/>
    <w:rsid w:val="006655EE"/>
    <w:rsid w:val="0066563E"/>
    <w:rsid w:val="006667A3"/>
    <w:rsid w:val="00666CB4"/>
    <w:rsid w:val="0066773C"/>
    <w:rsid w:val="00667747"/>
    <w:rsid w:val="006677C2"/>
    <w:rsid w:val="00667DC6"/>
    <w:rsid w:val="00667EE7"/>
    <w:rsid w:val="00670922"/>
    <w:rsid w:val="00670BE1"/>
    <w:rsid w:val="00670C1F"/>
    <w:rsid w:val="00670C80"/>
    <w:rsid w:val="00671038"/>
    <w:rsid w:val="00671080"/>
    <w:rsid w:val="0067147A"/>
    <w:rsid w:val="00671D1C"/>
    <w:rsid w:val="0067218F"/>
    <w:rsid w:val="006723F2"/>
    <w:rsid w:val="00672BE8"/>
    <w:rsid w:val="00672E28"/>
    <w:rsid w:val="0067419F"/>
    <w:rsid w:val="006741F2"/>
    <w:rsid w:val="0067435B"/>
    <w:rsid w:val="00674BC6"/>
    <w:rsid w:val="00674CC3"/>
    <w:rsid w:val="0067579D"/>
    <w:rsid w:val="00675C72"/>
    <w:rsid w:val="00675F35"/>
    <w:rsid w:val="006763F1"/>
    <w:rsid w:val="006764CA"/>
    <w:rsid w:val="0067695C"/>
    <w:rsid w:val="0067697F"/>
    <w:rsid w:val="00676AFA"/>
    <w:rsid w:val="00676E11"/>
    <w:rsid w:val="006771F9"/>
    <w:rsid w:val="006776D7"/>
    <w:rsid w:val="00677DFB"/>
    <w:rsid w:val="0068079C"/>
    <w:rsid w:val="00680EBA"/>
    <w:rsid w:val="00681003"/>
    <w:rsid w:val="00681501"/>
    <w:rsid w:val="006817C9"/>
    <w:rsid w:val="006819A8"/>
    <w:rsid w:val="006819F9"/>
    <w:rsid w:val="006823E0"/>
    <w:rsid w:val="00682FF5"/>
    <w:rsid w:val="0068364E"/>
    <w:rsid w:val="00683ECE"/>
    <w:rsid w:val="006842D0"/>
    <w:rsid w:val="006849A3"/>
    <w:rsid w:val="00684BF3"/>
    <w:rsid w:val="00684D94"/>
    <w:rsid w:val="00684F64"/>
    <w:rsid w:val="00685D26"/>
    <w:rsid w:val="00686ABF"/>
    <w:rsid w:val="00686AF6"/>
    <w:rsid w:val="0069038E"/>
    <w:rsid w:val="006905EF"/>
    <w:rsid w:val="00691154"/>
    <w:rsid w:val="00691B86"/>
    <w:rsid w:val="00691CA5"/>
    <w:rsid w:val="00692916"/>
    <w:rsid w:val="00692D2D"/>
    <w:rsid w:val="0069448F"/>
    <w:rsid w:val="00695FC2"/>
    <w:rsid w:val="006960D3"/>
    <w:rsid w:val="00696374"/>
    <w:rsid w:val="00696914"/>
    <w:rsid w:val="00696949"/>
    <w:rsid w:val="00696C75"/>
    <w:rsid w:val="00696FE0"/>
    <w:rsid w:val="00697052"/>
    <w:rsid w:val="00697487"/>
    <w:rsid w:val="00697683"/>
    <w:rsid w:val="00697E8F"/>
    <w:rsid w:val="006A0915"/>
    <w:rsid w:val="006A0B71"/>
    <w:rsid w:val="006A1B77"/>
    <w:rsid w:val="006A2184"/>
    <w:rsid w:val="006A2325"/>
    <w:rsid w:val="006A263D"/>
    <w:rsid w:val="006A30B6"/>
    <w:rsid w:val="006A366B"/>
    <w:rsid w:val="006A3B7F"/>
    <w:rsid w:val="006A46FB"/>
    <w:rsid w:val="006A556B"/>
    <w:rsid w:val="006A5676"/>
    <w:rsid w:val="006A5959"/>
    <w:rsid w:val="006A5C3B"/>
    <w:rsid w:val="006A5E28"/>
    <w:rsid w:val="006A5E45"/>
    <w:rsid w:val="006A61DC"/>
    <w:rsid w:val="006A697B"/>
    <w:rsid w:val="006A6C55"/>
    <w:rsid w:val="006A6F13"/>
    <w:rsid w:val="006A712B"/>
    <w:rsid w:val="006A75CE"/>
    <w:rsid w:val="006A7AFF"/>
    <w:rsid w:val="006A7B64"/>
    <w:rsid w:val="006A7BCD"/>
    <w:rsid w:val="006A7D90"/>
    <w:rsid w:val="006B0A03"/>
    <w:rsid w:val="006B0D08"/>
    <w:rsid w:val="006B10D0"/>
    <w:rsid w:val="006B125C"/>
    <w:rsid w:val="006B16DE"/>
    <w:rsid w:val="006B1816"/>
    <w:rsid w:val="006B1EAA"/>
    <w:rsid w:val="006B2099"/>
    <w:rsid w:val="006B2550"/>
    <w:rsid w:val="006B4553"/>
    <w:rsid w:val="006B4612"/>
    <w:rsid w:val="006B4EAD"/>
    <w:rsid w:val="006B50CF"/>
    <w:rsid w:val="006B6642"/>
    <w:rsid w:val="006B68B9"/>
    <w:rsid w:val="006C03B8"/>
    <w:rsid w:val="006C0A5A"/>
    <w:rsid w:val="006C1538"/>
    <w:rsid w:val="006C296B"/>
    <w:rsid w:val="006C2FE5"/>
    <w:rsid w:val="006C31ED"/>
    <w:rsid w:val="006C418A"/>
    <w:rsid w:val="006C4449"/>
    <w:rsid w:val="006C4C67"/>
    <w:rsid w:val="006C5EC9"/>
    <w:rsid w:val="006C6059"/>
    <w:rsid w:val="006C6540"/>
    <w:rsid w:val="006C6658"/>
    <w:rsid w:val="006C6750"/>
    <w:rsid w:val="006C6772"/>
    <w:rsid w:val="006C6ECF"/>
    <w:rsid w:val="006C7522"/>
    <w:rsid w:val="006C7802"/>
    <w:rsid w:val="006C7B17"/>
    <w:rsid w:val="006D00C3"/>
    <w:rsid w:val="006D0AA2"/>
    <w:rsid w:val="006D1916"/>
    <w:rsid w:val="006D1BB8"/>
    <w:rsid w:val="006D2855"/>
    <w:rsid w:val="006D288D"/>
    <w:rsid w:val="006D28B7"/>
    <w:rsid w:val="006D2D24"/>
    <w:rsid w:val="006D3CD5"/>
    <w:rsid w:val="006D418E"/>
    <w:rsid w:val="006D4673"/>
    <w:rsid w:val="006D513B"/>
    <w:rsid w:val="006D6F08"/>
    <w:rsid w:val="006D7370"/>
    <w:rsid w:val="006D7EFB"/>
    <w:rsid w:val="006E0523"/>
    <w:rsid w:val="006E062C"/>
    <w:rsid w:val="006E0923"/>
    <w:rsid w:val="006E0E1C"/>
    <w:rsid w:val="006E176A"/>
    <w:rsid w:val="006E1C82"/>
    <w:rsid w:val="006E28B7"/>
    <w:rsid w:val="006E2A9B"/>
    <w:rsid w:val="006E2C56"/>
    <w:rsid w:val="006E3310"/>
    <w:rsid w:val="006E3515"/>
    <w:rsid w:val="006E3BD0"/>
    <w:rsid w:val="006E4E39"/>
    <w:rsid w:val="006E565E"/>
    <w:rsid w:val="006E5D92"/>
    <w:rsid w:val="006E66E3"/>
    <w:rsid w:val="006E673D"/>
    <w:rsid w:val="006E6980"/>
    <w:rsid w:val="006E6B67"/>
    <w:rsid w:val="006E6F5F"/>
    <w:rsid w:val="006E7A06"/>
    <w:rsid w:val="006E7D3B"/>
    <w:rsid w:val="006E7F04"/>
    <w:rsid w:val="006F0598"/>
    <w:rsid w:val="006F07B2"/>
    <w:rsid w:val="006F0903"/>
    <w:rsid w:val="006F1A0F"/>
    <w:rsid w:val="006F1B70"/>
    <w:rsid w:val="006F26BE"/>
    <w:rsid w:val="006F341D"/>
    <w:rsid w:val="006F356A"/>
    <w:rsid w:val="006F3649"/>
    <w:rsid w:val="006F3A1C"/>
    <w:rsid w:val="006F3CDE"/>
    <w:rsid w:val="006F4197"/>
    <w:rsid w:val="006F464C"/>
    <w:rsid w:val="006F4BD6"/>
    <w:rsid w:val="006F4F22"/>
    <w:rsid w:val="006F5680"/>
    <w:rsid w:val="006F58D4"/>
    <w:rsid w:val="006F6008"/>
    <w:rsid w:val="006F6582"/>
    <w:rsid w:val="006F6A5A"/>
    <w:rsid w:val="006F6C01"/>
    <w:rsid w:val="006F7F78"/>
    <w:rsid w:val="00700962"/>
    <w:rsid w:val="007010C7"/>
    <w:rsid w:val="00701715"/>
    <w:rsid w:val="0070173F"/>
    <w:rsid w:val="0070293D"/>
    <w:rsid w:val="007029AE"/>
    <w:rsid w:val="0070346E"/>
    <w:rsid w:val="0070372B"/>
    <w:rsid w:val="00703DE2"/>
    <w:rsid w:val="007040D4"/>
    <w:rsid w:val="0070482C"/>
    <w:rsid w:val="00704A79"/>
    <w:rsid w:val="00704EDB"/>
    <w:rsid w:val="007052D9"/>
    <w:rsid w:val="0070595C"/>
    <w:rsid w:val="007060C0"/>
    <w:rsid w:val="00706101"/>
    <w:rsid w:val="00706742"/>
    <w:rsid w:val="00707072"/>
    <w:rsid w:val="00707219"/>
    <w:rsid w:val="007075DD"/>
    <w:rsid w:val="00707D61"/>
    <w:rsid w:val="0071076F"/>
    <w:rsid w:val="007107C9"/>
    <w:rsid w:val="00711235"/>
    <w:rsid w:val="0071181B"/>
    <w:rsid w:val="00711AB0"/>
    <w:rsid w:val="00711AF2"/>
    <w:rsid w:val="00711D19"/>
    <w:rsid w:val="00711D1F"/>
    <w:rsid w:val="00712287"/>
    <w:rsid w:val="00712546"/>
    <w:rsid w:val="00712772"/>
    <w:rsid w:val="00712A44"/>
    <w:rsid w:val="0071400F"/>
    <w:rsid w:val="007146AA"/>
    <w:rsid w:val="007148D3"/>
    <w:rsid w:val="00714902"/>
    <w:rsid w:val="00714C79"/>
    <w:rsid w:val="00715B9A"/>
    <w:rsid w:val="00715EAD"/>
    <w:rsid w:val="0071631F"/>
    <w:rsid w:val="00716523"/>
    <w:rsid w:val="0071684A"/>
    <w:rsid w:val="007178C8"/>
    <w:rsid w:val="00717ABC"/>
    <w:rsid w:val="00717E47"/>
    <w:rsid w:val="00720C33"/>
    <w:rsid w:val="00720FE0"/>
    <w:rsid w:val="00721468"/>
    <w:rsid w:val="00721B32"/>
    <w:rsid w:val="007220C0"/>
    <w:rsid w:val="007225C4"/>
    <w:rsid w:val="00722BC1"/>
    <w:rsid w:val="00722C2B"/>
    <w:rsid w:val="00723310"/>
    <w:rsid w:val="007247AD"/>
    <w:rsid w:val="007257D0"/>
    <w:rsid w:val="00725BB7"/>
    <w:rsid w:val="007266A6"/>
    <w:rsid w:val="00726EA6"/>
    <w:rsid w:val="00727208"/>
    <w:rsid w:val="0072731F"/>
    <w:rsid w:val="00727539"/>
    <w:rsid w:val="00727680"/>
    <w:rsid w:val="00727B3E"/>
    <w:rsid w:val="00730C47"/>
    <w:rsid w:val="00731590"/>
    <w:rsid w:val="007315C3"/>
    <w:rsid w:val="007322A7"/>
    <w:rsid w:val="0073327F"/>
    <w:rsid w:val="00733477"/>
    <w:rsid w:val="00733482"/>
    <w:rsid w:val="00734223"/>
    <w:rsid w:val="00734306"/>
    <w:rsid w:val="007348B1"/>
    <w:rsid w:val="00734AA3"/>
    <w:rsid w:val="007350C7"/>
    <w:rsid w:val="00735B68"/>
    <w:rsid w:val="007362A6"/>
    <w:rsid w:val="00736308"/>
    <w:rsid w:val="00736D7D"/>
    <w:rsid w:val="00736EC7"/>
    <w:rsid w:val="00737255"/>
    <w:rsid w:val="00740E58"/>
    <w:rsid w:val="00741F45"/>
    <w:rsid w:val="00743377"/>
    <w:rsid w:val="0074374D"/>
    <w:rsid w:val="007445A0"/>
    <w:rsid w:val="0074524B"/>
    <w:rsid w:val="007459CE"/>
    <w:rsid w:val="00745B9D"/>
    <w:rsid w:val="00745DA5"/>
    <w:rsid w:val="0074602E"/>
    <w:rsid w:val="0074603C"/>
    <w:rsid w:val="007460AE"/>
    <w:rsid w:val="00746DCA"/>
    <w:rsid w:val="00747449"/>
    <w:rsid w:val="00747BAC"/>
    <w:rsid w:val="00747D8B"/>
    <w:rsid w:val="0075025A"/>
    <w:rsid w:val="00750490"/>
    <w:rsid w:val="007508F2"/>
    <w:rsid w:val="00751228"/>
    <w:rsid w:val="00752E1C"/>
    <w:rsid w:val="00753070"/>
    <w:rsid w:val="0075315A"/>
    <w:rsid w:val="007532A8"/>
    <w:rsid w:val="00753664"/>
    <w:rsid w:val="0075366B"/>
    <w:rsid w:val="007544C6"/>
    <w:rsid w:val="007544EA"/>
    <w:rsid w:val="00754D27"/>
    <w:rsid w:val="00754D2A"/>
    <w:rsid w:val="00755291"/>
    <w:rsid w:val="007561BF"/>
    <w:rsid w:val="007571E1"/>
    <w:rsid w:val="0075754B"/>
    <w:rsid w:val="007604B2"/>
    <w:rsid w:val="007605AE"/>
    <w:rsid w:val="00760690"/>
    <w:rsid w:val="0076086A"/>
    <w:rsid w:val="00761B36"/>
    <w:rsid w:val="00761D2C"/>
    <w:rsid w:val="007621AF"/>
    <w:rsid w:val="0076237B"/>
    <w:rsid w:val="00762492"/>
    <w:rsid w:val="007625FE"/>
    <w:rsid w:val="00762A99"/>
    <w:rsid w:val="00763932"/>
    <w:rsid w:val="00763F61"/>
    <w:rsid w:val="0076440C"/>
    <w:rsid w:val="00764634"/>
    <w:rsid w:val="00765281"/>
    <w:rsid w:val="0076570C"/>
    <w:rsid w:val="00766013"/>
    <w:rsid w:val="00766B12"/>
    <w:rsid w:val="00766BAD"/>
    <w:rsid w:val="007702E0"/>
    <w:rsid w:val="007704F7"/>
    <w:rsid w:val="00770E96"/>
    <w:rsid w:val="007711FF"/>
    <w:rsid w:val="00771AC1"/>
    <w:rsid w:val="00771C84"/>
    <w:rsid w:val="00771FF5"/>
    <w:rsid w:val="00772473"/>
    <w:rsid w:val="007728B5"/>
    <w:rsid w:val="007729A2"/>
    <w:rsid w:val="00772E93"/>
    <w:rsid w:val="007730B4"/>
    <w:rsid w:val="007739A6"/>
    <w:rsid w:val="007740A8"/>
    <w:rsid w:val="0077484A"/>
    <w:rsid w:val="007755F2"/>
    <w:rsid w:val="00775850"/>
    <w:rsid w:val="00775B87"/>
    <w:rsid w:val="00775D68"/>
    <w:rsid w:val="00776971"/>
    <w:rsid w:val="00776982"/>
    <w:rsid w:val="00776A9F"/>
    <w:rsid w:val="00776AF2"/>
    <w:rsid w:val="00776C4C"/>
    <w:rsid w:val="00776D37"/>
    <w:rsid w:val="007772A6"/>
    <w:rsid w:val="0077748B"/>
    <w:rsid w:val="0078038F"/>
    <w:rsid w:val="00780A80"/>
    <w:rsid w:val="007816A9"/>
    <w:rsid w:val="0078177E"/>
    <w:rsid w:val="00781C0E"/>
    <w:rsid w:val="0078304C"/>
    <w:rsid w:val="007831C1"/>
    <w:rsid w:val="00783625"/>
    <w:rsid w:val="00783673"/>
    <w:rsid w:val="00783BEC"/>
    <w:rsid w:val="0078437D"/>
    <w:rsid w:val="00784834"/>
    <w:rsid w:val="00784F95"/>
    <w:rsid w:val="00785490"/>
    <w:rsid w:val="0078593E"/>
    <w:rsid w:val="007868F6"/>
    <w:rsid w:val="007874E2"/>
    <w:rsid w:val="007879F8"/>
    <w:rsid w:val="00787B7A"/>
    <w:rsid w:val="00787D34"/>
    <w:rsid w:val="00790696"/>
    <w:rsid w:val="00790B4E"/>
    <w:rsid w:val="0079170E"/>
    <w:rsid w:val="00791AD8"/>
    <w:rsid w:val="00791B18"/>
    <w:rsid w:val="00791E72"/>
    <w:rsid w:val="00792570"/>
    <w:rsid w:val="007925EA"/>
    <w:rsid w:val="00792821"/>
    <w:rsid w:val="00793381"/>
    <w:rsid w:val="00793A01"/>
    <w:rsid w:val="00793CD8"/>
    <w:rsid w:val="007944C2"/>
    <w:rsid w:val="0079456D"/>
    <w:rsid w:val="00794851"/>
    <w:rsid w:val="007948A0"/>
    <w:rsid w:val="007955D1"/>
    <w:rsid w:val="007958B8"/>
    <w:rsid w:val="00795A7F"/>
    <w:rsid w:val="00795C92"/>
    <w:rsid w:val="00796231"/>
    <w:rsid w:val="00796669"/>
    <w:rsid w:val="00796B11"/>
    <w:rsid w:val="00796DBE"/>
    <w:rsid w:val="00797773"/>
    <w:rsid w:val="00797799"/>
    <w:rsid w:val="007A0791"/>
    <w:rsid w:val="007A166D"/>
    <w:rsid w:val="007A1CB3"/>
    <w:rsid w:val="007A2242"/>
    <w:rsid w:val="007A2575"/>
    <w:rsid w:val="007A278A"/>
    <w:rsid w:val="007A2F3A"/>
    <w:rsid w:val="007A306F"/>
    <w:rsid w:val="007A352D"/>
    <w:rsid w:val="007A3706"/>
    <w:rsid w:val="007A39ED"/>
    <w:rsid w:val="007A3F0A"/>
    <w:rsid w:val="007A43A6"/>
    <w:rsid w:val="007A44B6"/>
    <w:rsid w:val="007A497D"/>
    <w:rsid w:val="007A58A6"/>
    <w:rsid w:val="007A5BA9"/>
    <w:rsid w:val="007A5EBC"/>
    <w:rsid w:val="007A5FB5"/>
    <w:rsid w:val="007A64D8"/>
    <w:rsid w:val="007A66A6"/>
    <w:rsid w:val="007A66E7"/>
    <w:rsid w:val="007A68D9"/>
    <w:rsid w:val="007A69DC"/>
    <w:rsid w:val="007A6B7C"/>
    <w:rsid w:val="007A71B7"/>
    <w:rsid w:val="007A7D96"/>
    <w:rsid w:val="007A7E68"/>
    <w:rsid w:val="007B0221"/>
    <w:rsid w:val="007B03D4"/>
    <w:rsid w:val="007B0897"/>
    <w:rsid w:val="007B0D59"/>
    <w:rsid w:val="007B0F33"/>
    <w:rsid w:val="007B1A1D"/>
    <w:rsid w:val="007B36BE"/>
    <w:rsid w:val="007B3D2D"/>
    <w:rsid w:val="007B42C5"/>
    <w:rsid w:val="007B48CE"/>
    <w:rsid w:val="007B494E"/>
    <w:rsid w:val="007B50AE"/>
    <w:rsid w:val="007B51DF"/>
    <w:rsid w:val="007B5FA7"/>
    <w:rsid w:val="007B61E3"/>
    <w:rsid w:val="007B6808"/>
    <w:rsid w:val="007B6DE0"/>
    <w:rsid w:val="007B7489"/>
    <w:rsid w:val="007B77E7"/>
    <w:rsid w:val="007B7B98"/>
    <w:rsid w:val="007C016C"/>
    <w:rsid w:val="007C057B"/>
    <w:rsid w:val="007C05DD"/>
    <w:rsid w:val="007C06BA"/>
    <w:rsid w:val="007C10DC"/>
    <w:rsid w:val="007C1B84"/>
    <w:rsid w:val="007C22B8"/>
    <w:rsid w:val="007C31D1"/>
    <w:rsid w:val="007C3D18"/>
    <w:rsid w:val="007C3D90"/>
    <w:rsid w:val="007C52B0"/>
    <w:rsid w:val="007C5C81"/>
    <w:rsid w:val="007C60BF"/>
    <w:rsid w:val="007C65E5"/>
    <w:rsid w:val="007C6A07"/>
    <w:rsid w:val="007C73A9"/>
    <w:rsid w:val="007C75A1"/>
    <w:rsid w:val="007C77A5"/>
    <w:rsid w:val="007C7FBC"/>
    <w:rsid w:val="007D04E5"/>
    <w:rsid w:val="007D0634"/>
    <w:rsid w:val="007D0834"/>
    <w:rsid w:val="007D09C8"/>
    <w:rsid w:val="007D0BD2"/>
    <w:rsid w:val="007D0C73"/>
    <w:rsid w:val="007D0C87"/>
    <w:rsid w:val="007D11A4"/>
    <w:rsid w:val="007D1437"/>
    <w:rsid w:val="007D1463"/>
    <w:rsid w:val="007D1B74"/>
    <w:rsid w:val="007D1F11"/>
    <w:rsid w:val="007D243F"/>
    <w:rsid w:val="007D2757"/>
    <w:rsid w:val="007D2DDD"/>
    <w:rsid w:val="007D30FF"/>
    <w:rsid w:val="007D3119"/>
    <w:rsid w:val="007D383D"/>
    <w:rsid w:val="007D3A27"/>
    <w:rsid w:val="007D3C9E"/>
    <w:rsid w:val="007D4453"/>
    <w:rsid w:val="007D44D5"/>
    <w:rsid w:val="007D4EB3"/>
    <w:rsid w:val="007D53E2"/>
    <w:rsid w:val="007D57C7"/>
    <w:rsid w:val="007D588A"/>
    <w:rsid w:val="007D5901"/>
    <w:rsid w:val="007D5D57"/>
    <w:rsid w:val="007D611E"/>
    <w:rsid w:val="007D651A"/>
    <w:rsid w:val="007D68BE"/>
    <w:rsid w:val="007D6EC4"/>
    <w:rsid w:val="007D7104"/>
    <w:rsid w:val="007D7526"/>
    <w:rsid w:val="007D75DF"/>
    <w:rsid w:val="007E0144"/>
    <w:rsid w:val="007E0725"/>
    <w:rsid w:val="007E11A3"/>
    <w:rsid w:val="007E1258"/>
    <w:rsid w:val="007E1DBF"/>
    <w:rsid w:val="007E2A24"/>
    <w:rsid w:val="007E2C79"/>
    <w:rsid w:val="007E2CDD"/>
    <w:rsid w:val="007E2E2A"/>
    <w:rsid w:val="007E304A"/>
    <w:rsid w:val="007E3488"/>
    <w:rsid w:val="007E45F1"/>
    <w:rsid w:val="007E4610"/>
    <w:rsid w:val="007E4715"/>
    <w:rsid w:val="007E505B"/>
    <w:rsid w:val="007E636C"/>
    <w:rsid w:val="007E6D01"/>
    <w:rsid w:val="007E7091"/>
    <w:rsid w:val="007E7656"/>
    <w:rsid w:val="007E7A7D"/>
    <w:rsid w:val="007F0687"/>
    <w:rsid w:val="007F0893"/>
    <w:rsid w:val="007F0BDE"/>
    <w:rsid w:val="007F1458"/>
    <w:rsid w:val="007F26CA"/>
    <w:rsid w:val="007F33DC"/>
    <w:rsid w:val="007F39BB"/>
    <w:rsid w:val="007F4194"/>
    <w:rsid w:val="007F42F4"/>
    <w:rsid w:val="007F4351"/>
    <w:rsid w:val="007F439C"/>
    <w:rsid w:val="007F44B2"/>
    <w:rsid w:val="007F69B7"/>
    <w:rsid w:val="007F7172"/>
    <w:rsid w:val="007F74F3"/>
    <w:rsid w:val="007F7D15"/>
    <w:rsid w:val="00800E90"/>
    <w:rsid w:val="008011CD"/>
    <w:rsid w:val="00801782"/>
    <w:rsid w:val="00801849"/>
    <w:rsid w:val="00801DEE"/>
    <w:rsid w:val="00801F5A"/>
    <w:rsid w:val="00802303"/>
    <w:rsid w:val="00802F5D"/>
    <w:rsid w:val="0080311E"/>
    <w:rsid w:val="008038B1"/>
    <w:rsid w:val="008038B8"/>
    <w:rsid w:val="008039E2"/>
    <w:rsid w:val="00803E79"/>
    <w:rsid w:val="00803FAE"/>
    <w:rsid w:val="0080480B"/>
    <w:rsid w:val="0080496E"/>
    <w:rsid w:val="00804CC3"/>
    <w:rsid w:val="00804D1E"/>
    <w:rsid w:val="008051BB"/>
    <w:rsid w:val="0080536C"/>
    <w:rsid w:val="008059DF"/>
    <w:rsid w:val="0080605F"/>
    <w:rsid w:val="008073CD"/>
    <w:rsid w:val="00807786"/>
    <w:rsid w:val="008112BF"/>
    <w:rsid w:val="00811FCB"/>
    <w:rsid w:val="00812005"/>
    <w:rsid w:val="00812242"/>
    <w:rsid w:val="008122DA"/>
    <w:rsid w:val="0081237A"/>
    <w:rsid w:val="008124E5"/>
    <w:rsid w:val="008129F2"/>
    <w:rsid w:val="00812BBC"/>
    <w:rsid w:val="00812FCC"/>
    <w:rsid w:val="0081317A"/>
    <w:rsid w:val="0081401B"/>
    <w:rsid w:val="008142B9"/>
    <w:rsid w:val="00814B87"/>
    <w:rsid w:val="008158D6"/>
    <w:rsid w:val="0081596B"/>
    <w:rsid w:val="00815C35"/>
    <w:rsid w:val="00816A8F"/>
    <w:rsid w:val="00817196"/>
    <w:rsid w:val="0082076A"/>
    <w:rsid w:val="00820943"/>
    <w:rsid w:val="00820BA2"/>
    <w:rsid w:val="00820F3D"/>
    <w:rsid w:val="00821310"/>
    <w:rsid w:val="00821472"/>
    <w:rsid w:val="0082185C"/>
    <w:rsid w:val="008225E7"/>
    <w:rsid w:val="00822A7C"/>
    <w:rsid w:val="008233ED"/>
    <w:rsid w:val="008235DB"/>
    <w:rsid w:val="0082380D"/>
    <w:rsid w:val="00823BB9"/>
    <w:rsid w:val="008247F0"/>
    <w:rsid w:val="00824934"/>
    <w:rsid w:val="00824AB4"/>
    <w:rsid w:val="0082524B"/>
    <w:rsid w:val="00825C42"/>
    <w:rsid w:val="00825D25"/>
    <w:rsid w:val="0082601F"/>
    <w:rsid w:val="00826216"/>
    <w:rsid w:val="008262FA"/>
    <w:rsid w:val="00827A6E"/>
    <w:rsid w:val="00827AE2"/>
    <w:rsid w:val="00827D6F"/>
    <w:rsid w:val="00827DF9"/>
    <w:rsid w:val="00830484"/>
    <w:rsid w:val="00830CED"/>
    <w:rsid w:val="00830FA5"/>
    <w:rsid w:val="008312CF"/>
    <w:rsid w:val="00831380"/>
    <w:rsid w:val="00831E63"/>
    <w:rsid w:val="00832B30"/>
    <w:rsid w:val="0083348F"/>
    <w:rsid w:val="008334F0"/>
    <w:rsid w:val="00833B21"/>
    <w:rsid w:val="00833C04"/>
    <w:rsid w:val="00833E09"/>
    <w:rsid w:val="00834667"/>
    <w:rsid w:val="0083546B"/>
    <w:rsid w:val="0083594E"/>
    <w:rsid w:val="00836789"/>
    <w:rsid w:val="00836901"/>
    <w:rsid w:val="00836955"/>
    <w:rsid w:val="00837430"/>
    <w:rsid w:val="0083758B"/>
    <w:rsid w:val="008376AC"/>
    <w:rsid w:val="00837BB1"/>
    <w:rsid w:val="00840019"/>
    <w:rsid w:val="00841CA3"/>
    <w:rsid w:val="00841FEE"/>
    <w:rsid w:val="00842A46"/>
    <w:rsid w:val="008436BF"/>
    <w:rsid w:val="00843ACF"/>
    <w:rsid w:val="008444E8"/>
    <w:rsid w:val="00844C0B"/>
    <w:rsid w:val="00844C5C"/>
    <w:rsid w:val="00844E80"/>
    <w:rsid w:val="00845532"/>
    <w:rsid w:val="0084659C"/>
    <w:rsid w:val="008465FD"/>
    <w:rsid w:val="00846FE7"/>
    <w:rsid w:val="0084744C"/>
    <w:rsid w:val="008510A0"/>
    <w:rsid w:val="00851108"/>
    <w:rsid w:val="008517B4"/>
    <w:rsid w:val="008519FE"/>
    <w:rsid w:val="0085244A"/>
    <w:rsid w:val="00852D20"/>
    <w:rsid w:val="00853B4B"/>
    <w:rsid w:val="00853CBD"/>
    <w:rsid w:val="008542AA"/>
    <w:rsid w:val="00854807"/>
    <w:rsid w:val="008566FE"/>
    <w:rsid w:val="00856911"/>
    <w:rsid w:val="00860F3F"/>
    <w:rsid w:val="008612CB"/>
    <w:rsid w:val="00861B85"/>
    <w:rsid w:val="00861BDB"/>
    <w:rsid w:val="00861D4F"/>
    <w:rsid w:val="00862005"/>
    <w:rsid w:val="00862178"/>
    <w:rsid w:val="00862894"/>
    <w:rsid w:val="00863191"/>
    <w:rsid w:val="00863B8D"/>
    <w:rsid w:val="008644F3"/>
    <w:rsid w:val="008645F0"/>
    <w:rsid w:val="0086491D"/>
    <w:rsid w:val="00864BBF"/>
    <w:rsid w:val="00865B61"/>
    <w:rsid w:val="00865E3A"/>
    <w:rsid w:val="00866113"/>
    <w:rsid w:val="008663F7"/>
    <w:rsid w:val="00866D99"/>
    <w:rsid w:val="00867587"/>
    <w:rsid w:val="008677FD"/>
    <w:rsid w:val="00870373"/>
    <w:rsid w:val="008706D4"/>
    <w:rsid w:val="008708B2"/>
    <w:rsid w:val="00870D7D"/>
    <w:rsid w:val="00870F8A"/>
    <w:rsid w:val="008716F0"/>
    <w:rsid w:val="008717AA"/>
    <w:rsid w:val="008719A4"/>
    <w:rsid w:val="00871D23"/>
    <w:rsid w:val="00872101"/>
    <w:rsid w:val="00872A16"/>
    <w:rsid w:val="00872B6B"/>
    <w:rsid w:val="00872E27"/>
    <w:rsid w:val="00872E3B"/>
    <w:rsid w:val="008737E4"/>
    <w:rsid w:val="00873C00"/>
    <w:rsid w:val="00874312"/>
    <w:rsid w:val="0087437C"/>
    <w:rsid w:val="008745A3"/>
    <w:rsid w:val="0087488F"/>
    <w:rsid w:val="00875768"/>
    <w:rsid w:val="00875CD7"/>
    <w:rsid w:val="00876860"/>
    <w:rsid w:val="008769B3"/>
    <w:rsid w:val="00876B4D"/>
    <w:rsid w:val="00877B89"/>
    <w:rsid w:val="00877F18"/>
    <w:rsid w:val="0088064B"/>
    <w:rsid w:val="00880932"/>
    <w:rsid w:val="00881B38"/>
    <w:rsid w:val="008825E6"/>
    <w:rsid w:val="008841FA"/>
    <w:rsid w:val="00885BA6"/>
    <w:rsid w:val="008861FC"/>
    <w:rsid w:val="00886A27"/>
    <w:rsid w:val="00886E6B"/>
    <w:rsid w:val="00887799"/>
    <w:rsid w:val="00887F95"/>
    <w:rsid w:val="00892125"/>
    <w:rsid w:val="00892C2A"/>
    <w:rsid w:val="008935B6"/>
    <w:rsid w:val="008938DD"/>
    <w:rsid w:val="00893A99"/>
    <w:rsid w:val="00893B06"/>
    <w:rsid w:val="00893DED"/>
    <w:rsid w:val="008941E3"/>
    <w:rsid w:val="00894A88"/>
    <w:rsid w:val="00894A95"/>
    <w:rsid w:val="00895386"/>
    <w:rsid w:val="00895498"/>
    <w:rsid w:val="00895B2A"/>
    <w:rsid w:val="00895C06"/>
    <w:rsid w:val="00895C10"/>
    <w:rsid w:val="00895F34"/>
    <w:rsid w:val="00896850"/>
    <w:rsid w:val="00897F76"/>
    <w:rsid w:val="008A00FF"/>
    <w:rsid w:val="008A04A6"/>
    <w:rsid w:val="008A090F"/>
    <w:rsid w:val="008A1F47"/>
    <w:rsid w:val="008A21FF"/>
    <w:rsid w:val="008A2CE2"/>
    <w:rsid w:val="008A30AC"/>
    <w:rsid w:val="008A36BC"/>
    <w:rsid w:val="008A44B8"/>
    <w:rsid w:val="008A4689"/>
    <w:rsid w:val="008A4749"/>
    <w:rsid w:val="008A49E0"/>
    <w:rsid w:val="008A4EB7"/>
    <w:rsid w:val="008A51A8"/>
    <w:rsid w:val="008A54C7"/>
    <w:rsid w:val="008A5ADF"/>
    <w:rsid w:val="008A6077"/>
    <w:rsid w:val="008A70F5"/>
    <w:rsid w:val="008A77D8"/>
    <w:rsid w:val="008A7B30"/>
    <w:rsid w:val="008B0030"/>
    <w:rsid w:val="008B0483"/>
    <w:rsid w:val="008B04EA"/>
    <w:rsid w:val="008B099C"/>
    <w:rsid w:val="008B1013"/>
    <w:rsid w:val="008B120C"/>
    <w:rsid w:val="008B3139"/>
    <w:rsid w:val="008B3F08"/>
    <w:rsid w:val="008B40A7"/>
    <w:rsid w:val="008B47DD"/>
    <w:rsid w:val="008B4817"/>
    <w:rsid w:val="008B481F"/>
    <w:rsid w:val="008B4FD5"/>
    <w:rsid w:val="008B506A"/>
    <w:rsid w:val="008B51A0"/>
    <w:rsid w:val="008B592A"/>
    <w:rsid w:val="008B5AC0"/>
    <w:rsid w:val="008B5F9E"/>
    <w:rsid w:val="008B6472"/>
    <w:rsid w:val="008B664E"/>
    <w:rsid w:val="008B6CD7"/>
    <w:rsid w:val="008B79EC"/>
    <w:rsid w:val="008B7B5C"/>
    <w:rsid w:val="008B7E35"/>
    <w:rsid w:val="008C052E"/>
    <w:rsid w:val="008C0647"/>
    <w:rsid w:val="008C0BB0"/>
    <w:rsid w:val="008C0C99"/>
    <w:rsid w:val="008C1075"/>
    <w:rsid w:val="008C118D"/>
    <w:rsid w:val="008C180A"/>
    <w:rsid w:val="008C194C"/>
    <w:rsid w:val="008C1F7F"/>
    <w:rsid w:val="008C2017"/>
    <w:rsid w:val="008C26EB"/>
    <w:rsid w:val="008C323A"/>
    <w:rsid w:val="008C363C"/>
    <w:rsid w:val="008C45D3"/>
    <w:rsid w:val="008C4627"/>
    <w:rsid w:val="008C4958"/>
    <w:rsid w:val="008C4BAA"/>
    <w:rsid w:val="008C5B15"/>
    <w:rsid w:val="008C6AE8"/>
    <w:rsid w:val="008C6C9D"/>
    <w:rsid w:val="008C713C"/>
    <w:rsid w:val="008C7573"/>
    <w:rsid w:val="008C7A69"/>
    <w:rsid w:val="008D00A5"/>
    <w:rsid w:val="008D18AD"/>
    <w:rsid w:val="008D1EDC"/>
    <w:rsid w:val="008D2832"/>
    <w:rsid w:val="008D2D90"/>
    <w:rsid w:val="008D3047"/>
    <w:rsid w:val="008D34F1"/>
    <w:rsid w:val="008D36C1"/>
    <w:rsid w:val="008D39D8"/>
    <w:rsid w:val="008D41FE"/>
    <w:rsid w:val="008D44C0"/>
    <w:rsid w:val="008D4A44"/>
    <w:rsid w:val="008D5F20"/>
    <w:rsid w:val="008D6086"/>
    <w:rsid w:val="008D69A5"/>
    <w:rsid w:val="008D6D1A"/>
    <w:rsid w:val="008D6D99"/>
    <w:rsid w:val="008D7413"/>
    <w:rsid w:val="008D7B6F"/>
    <w:rsid w:val="008E02FC"/>
    <w:rsid w:val="008E065E"/>
    <w:rsid w:val="008E0831"/>
    <w:rsid w:val="008E0927"/>
    <w:rsid w:val="008E0D72"/>
    <w:rsid w:val="008E130C"/>
    <w:rsid w:val="008E1909"/>
    <w:rsid w:val="008E1956"/>
    <w:rsid w:val="008E2469"/>
    <w:rsid w:val="008E3070"/>
    <w:rsid w:val="008E35CF"/>
    <w:rsid w:val="008E3677"/>
    <w:rsid w:val="008E38BC"/>
    <w:rsid w:val="008E45B2"/>
    <w:rsid w:val="008E5053"/>
    <w:rsid w:val="008E5C41"/>
    <w:rsid w:val="008E642A"/>
    <w:rsid w:val="008E6735"/>
    <w:rsid w:val="008E6A50"/>
    <w:rsid w:val="008E7258"/>
    <w:rsid w:val="008E7551"/>
    <w:rsid w:val="008E7FD4"/>
    <w:rsid w:val="008F094A"/>
    <w:rsid w:val="008F0A0B"/>
    <w:rsid w:val="008F0A59"/>
    <w:rsid w:val="008F14C0"/>
    <w:rsid w:val="008F1C4E"/>
    <w:rsid w:val="008F1D44"/>
    <w:rsid w:val="008F1E86"/>
    <w:rsid w:val="008F1EAB"/>
    <w:rsid w:val="008F274D"/>
    <w:rsid w:val="008F2C88"/>
    <w:rsid w:val="008F2CC1"/>
    <w:rsid w:val="008F2DF3"/>
    <w:rsid w:val="008F3301"/>
    <w:rsid w:val="008F33DC"/>
    <w:rsid w:val="008F3ADA"/>
    <w:rsid w:val="008F3B3B"/>
    <w:rsid w:val="008F4742"/>
    <w:rsid w:val="008F477F"/>
    <w:rsid w:val="008F53FA"/>
    <w:rsid w:val="008F5C0F"/>
    <w:rsid w:val="008F605A"/>
    <w:rsid w:val="008F70A9"/>
    <w:rsid w:val="008F7362"/>
    <w:rsid w:val="008F7965"/>
    <w:rsid w:val="008F7AAC"/>
    <w:rsid w:val="009003DB"/>
    <w:rsid w:val="009006BC"/>
    <w:rsid w:val="00900FA3"/>
    <w:rsid w:val="0090136E"/>
    <w:rsid w:val="00901EC3"/>
    <w:rsid w:val="00901EEE"/>
    <w:rsid w:val="00901F70"/>
    <w:rsid w:val="00902350"/>
    <w:rsid w:val="00902415"/>
    <w:rsid w:val="00902438"/>
    <w:rsid w:val="009025BE"/>
    <w:rsid w:val="0090269A"/>
    <w:rsid w:val="00902956"/>
    <w:rsid w:val="00902B19"/>
    <w:rsid w:val="00903013"/>
    <w:rsid w:val="00903333"/>
    <w:rsid w:val="0090336B"/>
    <w:rsid w:val="009037A6"/>
    <w:rsid w:val="009037B8"/>
    <w:rsid w:val="00903DEB"/>
    <w:rsid w:val="009044A6"/>
    <w:rsid w:val="0090455C"/>
    <w:rsid w:val="00905230"/>
    <w:rsid w:val="009053AA"/>
    <w:rsid w:val="009053E7"/>
    <w:rsid w:val="00905DDF"/>
    <w:rsid w:val="00906939"/>
    <w:rsid w:val="00906B49"/>
    <w:rsid w:val="0090733F"/>
    <w:rsid w:val="00910008"/>
    <w:rsid w:val="009103BD"/>
    <w:rsid w:val="009103C1"/>
    <w:rsid w:val="00910A48"/>
    <w:rsid w:val="00910B7D"/>
    <w:rsid w:val="0091114C"/>
    <w:rsid w:val="00911DFB"/>
    <w:rsid w:val="00912C84"/>
    <w:rsid w:val="00912DFE"/>
    <w:rsid w:val="009139D9"/>
    <w:rsid w:val="0091406B"/>
    <w:rsid w:val="009141B2"/>
    <w:rsid w:val="009141F3"/>
    <w:rsid w:val="00914AD8"/>
    <w:rsid w:val="00915676"/>
    <w:rsid w:val="00915A59"/>
    <w:rsid w:val="00916079"/>
    <w:rsid w:val="00916D74"/>
    <w:rsid w:val="00916FAA"/>
    <w:rsid w:val="00917537"/>
    <w:rsid w:val="00917A2A"/>
    <w:rsid w:val="00917CE9"/>
    <w:rsid w:val="00917E33"/>
    <w:rsid w:val="0092052D"/>
    <w:rsid w:val="0092075B"/>
    <w:rsid w:val="00920BF2"/>
    <w:rsid w:val="00922010"/>
    <w:rsid w:val="00922D8D"/>
    <w:rsid w:val="00924318"/>
    <w:rsid w:val="0092445C"/>
    <w:rsid w:val="00924A60"/>
    <w:rsid w:val="00924FA9"/>
    <w:rsid w:val="00924FF5"/>
    <w:rsid w:val="0092541B"/>
    <w:rsid w:val="0092610D"/>
    <w:rsid w:val="00927403"/>
    <w:rsid w:val="00927B78"/>
    <w:rsid w:val="00927D16"/>
    <w:rsid w:val="00927E38"/>
    <w:rsid w:val="00930CAE"/>
    <w:rsid w:val="00931431"/>
    <w:rsid w:val="00931BD9"/>
    <w:rsid w:val="009323A0"/>
    <w:rsid w:val="0093252D"/>
    <w:rsid w:val="009333ED"/>
    <w:rsid w:val="00933DEA"/>
    <w:rsid w:val="00934C2F"/>
    <w:rsid w:val="00935508"/>
    <w:rsid w:val="00935548"/>
    <w:rsid w:val="0093572B"/>
    <w:rsid w:val="00935BE0"/>
    <w:rsid w:val="00936463"/>
    <w:rsid w:val="0093676D"/>
    <w:rsid w:val="009368F3"/>
    <w:rsid w:val="00937E1C"/>
    <w:rsid w:val="00940747"/>
    <w:rsid w:val="00941636"/>
    <w:rsid w:val="00941DB5"/>
    <w:rsid w:val="00942072"/>
    <w:rsid w:val="00942BE9"/>
    <w:rsid w:val="00942F82"/>
    <w:rsid w:val="009430FD"/>
    <w:rsid w:val="00943742"/>
    <w:rsid w:val="009455B5"/>
    <w:rsid w:val="00945ADE"/>
    <w:rsid w:val="00945C05"/>
    <w:rsid w:val="00945CC0"/>
    <w:rsid w:val="00946114"/>
    <w:rsid w:val="00946608"/>
    <w:rsid w:val="00946826"/>
    <w:rsid w:val="0094686E"/>
    <w:rsid w:val="00946945"/>
    <w:rsid w:val="00947713"/>
    <w:rsid w:val="00950DE7"/>
    <w:rsid w:val="0095105D"/>
    <w:rsid w:val="00951BA4"/>
    <w:rsid w:val="00952417"/>
    <w:rsid w:val="00952501"/>
    <w:rsid w:val="00952574"/>
    <w:rsid w:val="00952780"/>
    <w:rsid w:val="00952AC4"/>
    <w:rsid w:val="00953920"/>
    <w:rsid w:val="00953ADA"/>
    <w:rsid w:val="00953D47"/>
    <w:rsid w:val="00953E35"/>
    <w:rsid w:val="009541EE"/>
    <w:rsid w:val="00954B69"/>
    <w:rsid w:val="0095675D"/>
    <w:rsid w:val="0095681E"/>
    <w:rsid w:val="00956AF3"/>
    <w:rsid w:val="00956B6C"/>
    <w:rsid w:val="00956EC3"/>
    <w:rsid w:val="00956FAB"/>
    <w:rsid w:val="0095700B"/>
    <w:rsid w:val="009572D4"/>
    <w:rsid w:val="00960550"/>
    <w:rsid w:val="009608B4"/>
    <w:rsid w:val="00961724"/>
    <w:rsid w:val="00961921"/>
    <w:rsid w:val="0096202E"/>
    <w:rsid w:val="00962102"/>
    <w:rsid w:val="009626D4"/>
    <w:rsid w:val="00962AC3"/>
    <w:rsid w:val="00962DE3"/>
    <w:rsid w:val="0096304A"/>
    <w:rsid w:val="009630DE"/>
    <w:rsid w:val="00963861"/>
    <w:rsid w:val="0096430A"/>
    <w:rsid w:val="0096554B"/>
    <w:rsid w:val="0096584A"/>
    <w:rsid w:val="009700FF"/>
    <w:rsid w:val="009703CD"/>
    <w:rsid w:val="00970532"/>
    <w:rsid w:val="00971633"/>
    <w:rsid w:val="00971D54"/>
    <w:rsid w:val="00971F08"/>
    <w:rsid w:val="00972D16"/>
    <w:rsid w:val="009741C8"/>
    <w:rsid w:val="009746B9"/>
    <w:rsid w:val="009753E6"/>
    <w:rsid w:val="0097567F"/>
    <w:rsid w:val="00975EF8"/>
    <w:rsid w:val="0097603D"/>
    <w:rsid w:val="00976515"/>
    <w:rsid w:val="0097692A"/>
    <w:rsid w:val="00976949"/>
    <w:rsid w:val="00976EAB"/>
    <w:rsid w:val="00976F0C"/>
    <w:rsid w:val="00980013"/>
    <w:rsid w:val="00980080"/>
    <w:rsid w:val="00980203"/>
    <w:rsid w:val="00980333"/>
    <w:rsid w:val="00980477"/>
    <w:rsid w:val="009804D6"/>
    <w:rsid w:val="00980827"/>
    <w:rsid w:val="00980FF7"/>
    <w:rsid w:val="00981803"/>
    <w:rsid w:val="00981FA9"/>
    <w:rsid w:val="00982252"/>
    <w:rsid w:val="00983706"/>
    <w:rsid w:val="00983997"/>
    <w:rsid w:val="009839B1"/>
    <w:rsid w:val="00983C15"/>
    <w:rsid w:val="00984AD2"/>
    <w:rsid w:val="009850FC"/>
    <w:rsid w:val="00985253"/>
    <w:rsid w:val="009853B3"/>
    <w:rsid w:val="009866DA"/>
    <w:rsid w:val="00986A38"/>
    <w:rsid w:val="00986B12"/>
    <w:rsid w:val="009875ED"/>
    <w:rsid w:val="00990630"/>
    <w:rsid w:val="00991761"/>
    <w:rsid w:val="00991835"/>
    <w:rsid w:val="009926EE"/>
    <w:rsid w:val="00992EC1"/>
    <w:rsid w:val="00993CCD"/>
    <w:rsid w:val="00993FCB"/>
    <w:rsid w:val="00994417"/>
    <w:rsid w:val="00994D3A"/>
    <w:rsid w:val="00994DCA"/>
    <w:rsid w:val="00995276"/>
    <w:rsid w:val="009960EC"/>
    <w:rsid w:val="00996844"/>
    <w:rsid w:val="0099688A"/>
    <w:rsid w:val="00996B08"/>
    <w:rsid w:val="00996B91"/>
    <w:rsid w:val="009970DD"/>
    <w:rsid w:val="009973EA"/>
    <w:rsid w:val="00997ED0"/>
    <w:rsid w:val="009A00F1"/>
    <w:rsid w:val="009A0B0B"/>
    <w:rsid w:val="009A0FBA"/>
    <w:rsid w:val="009A1601"/>
    <w:rsid w:val="009A1636"/>
    <w:rsid w:val="009A2080"/>
    <w:rsid w:val="009A285A"/>
    <w:rsid w:val="009A2B2B"/>
    <w:rsid w:val="009A2C1E"/>
    <w:rsid w:val="009A2C3F"/>
    <w:rsid w:val="009A32B0"/>
    <w:rsid w:val="009A3BB6"/>
    <w:rsid w:val="009A440E"/>
    <w:rsid w:val="009A462D"/>
    <w:rsid w:val="009A4923"/>
    <w:rsid w:val="009A534B"/>
    <w:rsid w:val="009A5CBA"/>
    <w:rsid w:val="009A5F66"/>
    <w:rsid w:val="009A5FF2"/>
    <w:rsid w:val="009A7CEF"/>
    <w:rsid w:val="009A7F52"/>
    <w:rsid w:val="009B0892"/>
    <w:rsid w:val="009B0FE5"/>
    <w:rsid w:val="009B107F"/>
    <w:rsid w:val="009B1314"/>
    <w:rsid w:val="009B1F30"/>
    <w:rsid w:val="009B1F65"/>
    <w:rsid w:val="009B1FC7"/>
    <w:rsid w:val="009B274E"/>
    <w:rsid w:val="009B33AA"/>
    <w:rsid w:val="009B3AC2"/>
    <w:rsid w:val="009B3B2C"/>
    <w:rsid w:val="009B4702"/>
    <w:rsid w:val="009B4A1E"/>
    <w:rsid w:val="009B4A3A"/>
    <w:rsid w:val="009B4DF4"/>
    <w:rsid w:val="009B564E"/>
    <w:rsid w:val="009B67C9"/>
    <w:rsid w:val="009B6A0B"/>
    <w:rsid w:val="009B6F32"/>
    <w:rsid w:val="009B6F3B"/>
    <w:rsid w:val="009B7690"/>
    <w:rsid w:val="009B78BC"/>
    <w:rsid w:val="009B7E87"/>
    <w:rsid w:val="009B7F65"/>
    <w:rsid w:val="009C0169"/>
    <w:rsid w:val="009C06C3"/>
    <w:rsid w:val="009C0884"/>
    <w:rsid w:val="009C0F05"/>
    <w:rsid w:val="009C0FF6"/>
    <w:rsid w:val="009C1EEE"/>
    <w:rsid w:val="009C2181"/>
    <w:rsid w:val="009C2328"/>
    <w:rsid w:val="009C2A04"/>
    <w:rsid w:val="009C2F00"/>
    <w:rsid w:val="009C34C8"/>
    <w:rsid w:val="009C381D"/>
    <w:rsid w:val="009C403E"/>
    <w:rsid w:val="009C4208"/>
    <w:rsid w:val="009C4925"/>
    <w:rsid w:val="009C54AF"/>
    <w:rsid w:val="009C5C43"/>
    <w:rsid w:val="009C6069"/>
    <w:rsid w:val="009C64EA"/>
    <w:rsid w:val="009C6BA2"/>
    <w:rsid w:val="009C6D8E"/>
    <w:rsid w:val="009C7D8E"/>
    <w:rsid w:val="009D1B91"/>
    <w:rsid w:val="009D22E0"/>
    <w:rsid w:val="009D31AB"/>
    <w:rsid w:val="009D3B4F"/>
    <w:rsid w:val="009D44A6"/>
    <w:rsid w:val="009D4A35"/>
    <w:rsid w:val="009D4CAB"/>
    <w:rsid w:val="009D4FF0"/>
    <w:rsid w:val="009D52EF"/>
    <w:rsid w:val="009D54EF"/>
    <w:rsid w:val="009D561B"/>
    <w:rsid w:val="009D5F5F"/>
    <w:rsid w:val="009D6388"/>
    <w:rsid w:val="009D703C"/>
    <w:rsid w:val="009D718F"/>
    <w:rsid w:val="009E0103"/>
    <w:rsid w:val="009E01A8"/>
    <w:rsid w:val="009E068F"/>
    <w:rsid w:val="009E11FA"/>
    <w:rsid w:val="009E136B"/>
    <w:rsid w:val="009E14E0"/>
    <w:rsid w:val="009E1ED6"/>
    <w:rsid w:val="009E35DB"/>
    <w:rsid w:val="009E3E71"/>
    <w:rsid w:val="009E4032"/>
    <w:rsid w:val="009E4742"/>
    <w:rsid w:val="009E47A3"/>
    <w:rsid w:val="009E48F5"/>
    <w:rsid w:val="009E57B8"/>
    <w:rsid w:val="009E5894"/>
    <w:rsid w:val="009E5992"/>
    <w:rsid w:val="009E6B6A"/>
    <w:rsid w:val="009E7563"/>
    <w:rsid w:val="009E7784"/>
    <w:rsid w:val="009E7FFD"/>
    <w:rsid w:val="009F078B"/>
    <w:rsid w:val="009F08F3"/>
    <w:rsid w:val="009F0D86"/>
    <w:rsid w:val="009F0E7D"/>
    <w:rsid w:val="009F1C95"/>
    <w:rsid w:val="009F24ED"/>
    <w:rsid w:val="009F2693"/>
    <w:rsid w:val="009F2E7C"/>
    <w:rsid w:val="009F344F"/>
    <w:rsid w:val="009F369D"/>
    <w:rsid w:val="009F44EC"/>
    <w:rsid w:val="009F53D4"/>
    <w:rsid w:val="009F6462"/>
    <w:rsid w:val="009F687E"/>
    <w:rsid w:val="00A00CF4"/>
    <w:rsid w:val="00A00E20"/>
    <w:rsid w:val="00A0125C"/>
    <w:rsid w:val="00A014FF"/>
    <w:rsid w:val="00A01EA8"/>
    <w:rsid w:val="00A01FB4"/>
    <w:rsid w:val="00A02228"/>
    <w:rsid w:val="00A027DB"/>
    <w:rsid w:val="00A0301A"/>
    <w:rsid w:val="00A031D8"/>
    <w:rsid w:val="00A03E7A"/>
    <w:rsid w:val="00A048A8"/>
    <w:rsid w:val="00A04D8B"/>
    <w:rsid w:val="00A04F49"/>
    <w:rsid w:val="00A051E5"/>
    <w:rsid w:val="00A05502"/>
    <w:rsid w:val="00A05BD4"/>
    <w:rsid w:val="00A05DE6"/>
    <w:rsid w:val="00A05FDE"/>
    <w:rsid w:val="00A066C3"/>
    <w:rsid w:val="00A06D4D"/>
    <w:rsid w:val="00A06EA5"/>
    <w:rsid w:val="00A07D3A"/>
    <w:rsid w:val="00A10991"/>
    <w:rsid w:val="00A10E67"/>
    <w:rsid w:val="00A10ED6"/>
    <w:rsid w:val="00A10EF4"/>
    <w:rsid w:val="00A119A4"/>
    <w:rsid w:val="00A11DA5"/>
    <w:rsid w:val="00A12263"/>
    <w:rsid w:val="00A12487"/>
    <w:rsid w:val="00A128C9"/>
    <w:rsid w:val="00A1302A"/>
    <w:rsid w:val="00A130D7"/>
    <w:rsid w:val="00A136C8"/>
    <w:rsid w:val="00A13E4C"/>
    <w:rsid w:val="00A13E54"/>
    <w:rsid w:val="00A142DF"/>
    <w:rsid w:val="00A144DA"/>
    <w:rsid w:val="00A1517E"/>
    <w:rsid w:val="00A15203"/>
    <w:rsid w:val="00A158D2"/>
    <w:rsid w:val="00A159C9"/>
    <w:rsid w:val="00A15C65"/>
    <w:rsid w:val="00A15CD9"/>
    <w:rsid w:val="00A15CDA"/>
    <w:rsid w:val="00A16256"/>
    <w:rsid w:val="00A16DA1"/>
    <w:rsid w:val="00A17B3F"/>
    <w:rsid w:val="00A17F63"/>
    <w:rsid w:val="00A17FCF"/>
    <w:rsid w:val="00A20400"/>
    <w:rsid w:val="00A20675"/>
    <w:rsid w:val="00A20D7D"/>
    <w:rsid w:val="00A213F6"/>
    <w:rsid w:val="00A2193B"/>
    <w:rsid w:val="00A219B4"/>
    <w:rsid w:val="00A21A52"/>
    <w:rsid w:val="00A229D1"/>
    <w:rsid w:val="00A22F6F"/>
    <w:rsid w:val="00A2351A"/>
    <w:rsid w:val="00A23922"/>
    <w:rsid w:val="00A23980"/>
    <w:rsid w:val="00A24247"/>
    <w:rsid w:val="00A245B6"/>
    <w:rsid w:val="00A24C6D"/>
    <w:rsid w:val="00A257B7"/>
    <w:rsid w:val="00A25C14"/>
    <w:rsid w:val="00A25D78"/>
    <w:rsid w:val="00A263D0"/>
    <w:rsid w:val="00A264A9"/>
    <w:rsid w:val="00A26B3D"/>
    <w:rsid w:val="00A26DCF"/>
    <w:rsid w:val="00A27657"/>
    <w:rsid w:val="00A27785"/>
    <w:rsid w:val="00A27B63"/>
    <w:rsid w:val="00A27E0F"/>
    <w:rsid w:val="00A30187"/>
    <w:rsid w:val="00A302E3"/>
    <w:rsid w:val="00A30B01"/>
    <w:rsid w:val="00A30E81"/>
    <w:rsid w:val="00A31E51"/>
    <w:rsid w:val="00A34013"/>
    <w:rsid w:val="00A3448A"/>
    <w:rsid w:val="00A3565A"/>
    <w:rsid w:val="00A356D0"/>
    <w:rsid w:val="00A35FE0"/>
    <w:rsid w:val="00A36297"/>
    <w:rsid w:val="00A366F4"/>
    <w:rsid w:val="00A36C4F"/>
    <w:rsid w:val="00A36F75"/>
    <w:rsid w:val="00A370A8"/>
    <w:rsid w:val="00A37317"/>
    <w:rsid w:val="00A37AFE"/>
    <w:rsid w:val="00A40147"/>
    <w:rsid w:val="00A40AB5"/>
    <w:rsid w:val="00A41E2B"/>
    <w:rsid w:val="00A42081"/>
    <w:rsid w:val="00A422DA"/>
    <w:rsid w:val="00A424EE"/>
    <w:rsid w:val="00A4277D"/>
    <w:rsid w:val="00A42C04"/>
    <w:rsid w:val="00A43087"/>
    <w:rsid w:val="00A43288"/>
    <w:rsid w:val="00A4372D"/>
    <w:rsid w:val="00A43B85"/>
    <w:rsid w:val="00A43E75"/>
    <w:rsid w:val="00A446E2"/>
    <w:rsid w:val="00A45B74"/>
    <w:rsid w:val="00A45FBB"/>
    <w:rsid w:val="00A464E4"/>
    <w:rsid w:val="00A465EE"/>
    <w:rsid w:val="00A46B47"/>
    <w:rsid w:val="00A46B8D"/>
    <w:rsid w:val="00A47108"/>
    <w:rsid w:val="00A4745B"/>
    <w:rsid w:val="00A50349"/>
    <w:rsid w:val="00A50EE6"/>
    <w:rsid w:val="00A51435"/>
    <w:rsid w:val="00A514CA"/>
    <w:rsid w:val="00A51A1F"/>
    <w:rsid w:val="00A51F10"/>
    <w:rsid w:val="00A5251B"/>
    <w:rsid w:val="00A526D4"/>
    <w:rsid w:val="00A52E1D"/>
    <w:rsid w:val="00A53678"/>
    <w:rsid w:val="00A538BB"/>
    <w:rsid w:val="00A53D91"/>
    <w:rsid w:val="00A53EE0"/>
    <w:rsid w:val="00A54A4B"/>
    <w:rsid w:val="00A54FBE"/>
    <w:rsid w:val="00A550FA"/>
    <w:rsid w:val="00A55126"/>
    <w:rsid w:val="00A559EE"/>
    <w:rsid w:val="00A56614"/>
    <w:rsid w:val="00A57825"/>
    <w:rsid w:val="00A60782"/>
    <w:rsid w:val="00A60D8E"/>
    <w:rsid w:val="00A61142"/>
    <w:rsid w:val="00A61499"/>
    <w:rsid w:val="00A6164B"/>
    <w:rsid w:val="00A6227F"/>
    <w:rsid w:val="00A62557"/>
    <w:rsid w:val="00A62A77"/>
    <w:rsid w:val="00A63483"/>
    <w:rsid w:val="00A63B89"/>
    <w:rsid w:val="00A647C6"/>
    <w:rsid w:val="00A64A16"/>
    <w:rsid w:val="00A65167"/>
    <w:rsid w:val="00A657D7"/>
    <w:rsid w:val="00A659BE"/>
    <w:rsid w:val="00A65C4B"/>
    <w:rsid w:val="00A660AC"/>
    <w:rsid w:val="00A66A8A"/>
    <w:rsid w:val="00A675F7"/>
    <w:rsid w:val="00A67E6C"/>
    <w:rsid w:val="00A702E8"/>
    <w:rsid w:val="00A705F7"/>
    <w:rsid w:val="00A7162F"/>
    <w:rsid w:val="00A71763"/>
    <w:rsid w:val="00A71B99"/>
    <w:rsid w:val="00A72D5A"/>
    <w:rsid w:val="00A731F5"/>
    <w:rsid w:val="00A732E3"/>
    <w:rsid w:val="00A739D0"/>
    <w:rsid w:val="00A74994"/>
    <w:rsid w:val="00A7570F"/>
    <w:rsid w:val="00A75741"/>
    <w:rsid w:val="00A761D4"/>
    <w:rsid w:val="00A7650D"/>
    <w:rsid w:val="00A765FA"/>
    <w:rsid w:val="00A7695D"/>
    <w:rsid w:val="00A76CA9"/>
    <w:rsid w:val="00A76EAC"/>
    <w:rsid w:val="00A773BA"/>
    <w:rsid w:val="00A77626"/>
    <w:rsid w:val="00A7781C"/>
    <w:rsid w:val="00A77957"/>
    <w:rsid w:val="00A77EC4"/>
    <w:rsid w:val="00A81EF9"/>
    <w:rsid w:val="00A8574B"/>
    <w:rsid w:val="00A861D9"/>
    <w:rsid w:val="00A86420"/>
    <w:rsid w:val="00A86AF2"/>
    <w:rsid w:val="00A87537"/>
    <w:rsid w:val="00A87AEF"/>
    <w:rsid w:val="00A91FC0"/>
    <w:rsid w:val="00A92241"/>
    <w:rsid w:val="00A923A0"/>
    <w:rsid w:val="00A92710"/>
    <w:rsid w:val="00A92879"/>
    <w:rsid w:val="00A92AFF"/>
    <w:rsid w:val="00A93200"/>
    <w:rsid w:val="00A93C99"/>
    <w:rsid w:val="00A9442A"/>
    <w:rsid w:val="00A9487A"/>
    <w:rsid w:val="00A94F01"/>
    <w:rsid w:val="00A94F6D"/>
    <w:rsid w:val="00A9521D"/>
    <w:rsid w:val="00A95705"/>
    <w:rsid w:val="00A9596C"/>
    <w:rsid w:val="00A95D18"/>
    <w:rsid w:val="00A96C93"/>
    <w:rsid w:val="00A96E18"/>
    <w:rsid w:val="00A97018"/>
    <w:rsid w:val="00A972D3"/>
    <w:rsid w:val="00A976EA"/>
    <w:rsid w:val="00A97DF2"/>
    <w:rsid w:val="00A97F22"/>
    <w:rsid w:val="00AA016F"/>
    <w:rsid w:val="00AA1208"/>
    <w:rsid w:val="00AA1452"/>
    <w:rsid w:val="00AA1ED6"/>
    <w:rsid w:val="00AA229C"/>
    <w:rsid w:val="00AA22EE"/>
    <w:rsid w:val="00AA2B6F"/>
    <w:rsid w:val="00AA2E9F"/>
    <w:rsid w:val="00AA32FF"/>
    <w:rsid w:val="00AA3DFA"/>
    <w:rsid w:val="00AA44AD"/>
    <w:rsid w:val="00AA47BA"/>
    <w:rsid w:val="00AA4A1B"/>
    <w:rsid w:val="00AA4E7F"/>
    <w:rsid w:val="00AA50C0"/>
    <w:rsid w:val="00AA51D6"/>
    <w:rsid w:val="00AA5FF1"/>
    <w:rsid w:val="00AA628A"/>
    <w:rsid w:val="00AA6946"/>
    <w:rsid w:val="00AA73CC"/>
    <w:rsid w:val="00AA75C7"/>
    <w:rsid w:val="00AA78E0"/>
    <w:rsid w:val="00AA7C1C"/>
    <w:rsid w:val="00AB0013"/>
    <w:rsid w:val="00AB050C"/>
    <w:rsid w:val="00AB0A29"/>
    <w:rsid w:val="00AB0B8E"/>
    <w:rsid w:val="00AB0BC8"/>
    <w:rsid w:val="00AB11CA"/>
    <w:rsid w:val="00AB14D9"/>
    <w:rsid w:val="00AB1FF1"/>
    <w:rsid w:val="00AB242D"/>
    <w:rsid w:val="00AB2A1A"/>
    <w:rsid w:val="00AB2CC5"/>
    <w:rsid w:val="00AB3E57"/>
    <w:rsid w:val="00AB41AE"/>
    <w:rsid w:val="00AB488C"/>
    <w:rsid w:val="00AB4AB8"/>
    <w:rsid w:val="00AB4F58"/>
    <w:rsid w:val="00AB5182"/>
    <w:rsid w:val="00AB524C"/>
    <w:rsid w:val="00AB5423"/>
    <w:rsid w:val="00AB55BD"/>
    <w:rsid w:val="00AB5B0E"/>
    <w:rsid w:val="00AB5C23"/>
    <w:rsid w:val="00AB655E"/>
    <w:rsid w:val="00AB6FD5"/>
    <w:rsid w:val="00AB707A"/>
    <w:rsid w:val="00AB7558"/>
    <w:rsid w:val="00AB7932"/>
    <w:rsid w:val="00AB7DB3"/>
    <w:rsid w:val="00AB7ED6"/>
    <w:rsid w:val="00AB7FBD"/>
    <w:rsid w:val="00AC007F"/>
    <w:rsid w:val="00AC01B6"/>
    <w:rsid w:val="00AC0531"/>
    <w:rsid w:val="00AC1163"/>
    <w:rsid w:val="00AC177F"/>
    <w:rsid w:val="00AC1C58"/>
    <w:rsid w:val="00AC216B"/>
    <w:rsid w:val="00AC2349"/>
    <w:rsid w:val="00AC2ECD"/>
    <w:rsid w:val="00AC3119"/>
    <w:rsid w:val="00AC3542"/>
    <w:rsid w:val="00AC38DF"/>
    <w:rsid w:val="00AC3C04"/>
    <w:rsid w:val="00AC49FB"/>
    <w:rsid w:val="00AC4DFD"/>
    <w:rsid w:val="00AC5A10"/>
    <w:rsid w:val="00AC5B7C"/>
    <w:rsid w:val="00AC6386"/>
    <w:rsid w:val="00AC6B4D"/>
    <w:rsid w:val="00AC701D"/>
    <w:rsid w:val="00AC7314"/>
    <w:rsid w:val="00AD0218"/>
    <w:rsid w:val="00AD067F"/>
    <w:rsid w:val="00AD072E"/>
    <w:rsid w:val="00AD0AA3"/>
    <w:rsid w:val="00AD0B0A"/>
    <w:rsid w:val="00AD0E92"/>
    <w:rsid w:val="00AD193E"/>
    <w:rsid w:val="00AD268A"/>
    <w:rsid w:val="00AD2ED0"/>
    <w:rsid w:val="00AD3D04"/>
    <w:rsid w:val="00AD3F94"/>
    <w:rsid w:val="00AD4144"/>
    <w:rsid w:val="00AD4407"/>
    <w:rsid w:val="00AD4A5A"/>
    <w:rsid w:val="00AD51BF"/>
    <w:rsid w:val="00AD5900"/>
    <w:rsid w:val="00AD5E7B"/>
    <w:rsid w:val="00AD604C"/>
    <w:rsid w:val="00AD62F1"/>
    <w:rsid w:val="00AD6615"/>
    <w:rsid w:val="00AD6781"/>
    <w:rsid w:val="00AD679B"/>
    <w:rsid w:val="00AD68A2"/>
    <w:rsid w:val="00AD6A37"/>
    <w:rsid w:val="00AD778F"/>
    <w:rsid w:val="00AD78AE"/>
    <w:rsid w:val="00AE0187"/>
    <w:rsid w:val="00AE04F9"/>
    <w:rsid w:val="00AE12A8"/>
    <w:rsid w:val="00AE190A"/>
    <w:rsid w:val="00AE1D81"/>
    <w:rsid w:val="00AE26A6"/>
    <w:rsid w:val="00AE26FC"/>
    <w:rsid w:val="00AE27AC"/>
    <w:rsid w:val="00AE2A5F"/>
    <w:rsid w:val="00AE323F"/>
    <w:rsid w:val="00AE3F3B"/>
    <w:rsid w:val="00AE40E0"/>
    <w:rsid w:val="00AE4230"/>
    <w:rsid w:val="00AE4C38"/>
    <w:rsid w:val="00AE4DBA"/>
    <w:rsid w:val="00AE4F07"/>
    <w:rsid w:val="00AE57AF"/>
    <w:rsid w:val="00AE6102"/>
    <w:rsid w:val="00AE6300"/>
    <w:rsid w:val="00AE73A6"/>
    <w:rsid w:val="00AE73B8"/>
    <w:rsid w:val="00AE7A14"/>
    <w:rsid w:val="00AE7C89"/>
    <w:rsid w:val="00AF09B3"/>
    <w:rsid w:val="00AF1C5D"/>
    <w:rsid w:val="00AF24DE"/>
    <w:rsid w:val="00AF2D7F"/>
    <w:rsid w:val="00AF42D7"/>
    <w:rsid w:val="00AF450D"/>
    <w:rsid w:val="00AF45A3"/>
    <w:rsid w:val="00AF4645"/>
    <w:rsid w:val="00AF4CBD"/>
    <w:rsid w:val="00AF5762"/>
    <w:rsid w:val="00AF613F"/>
    <w:rsid w:val="00AF662A"/>
    <w:rsid w:val="00AF6C25"/>
    <w:rsid w:val="00AF734D"/>
    <w:rsid w:val="00AF75AF"/>
    <w:rsid w:val="00AF7852"/>
    <w:rsid w:val="00AF7B31"/>
    <w:rsid w:val="00AF7E19"/>
    <w:rsid w:val="00B0053B"/>
    <w:rsid w:val="00B006FD"/>
    <w:rsid w:val="00B006FE"/>
    <w:rsid w:val="00B007CB"/>
    <w:rsid w:val="00B00A54"/>
    <w:rsid w:val="00B01D9E"/>
    <w:rsid w:val="00B023C7"/>
    <w:rsid w:val="00B02AA9"/>
    <w:rsid w:val="00B02BA4"/>
    <w:rsid w:val="00B02FA3"/>
    <w:rsid w:val="00B03807"/>
    <w:rsid w:val="00B03FBE"/>
    <w:rsid w:val="00B03FD8"/>
    <w:rsid w:val="00B0457D"/>
    <w:rsid w:val="00B05084"/>
    <w:rsid w:val="00B051DA"/>
    <w:rsid w:val="00B051F9"/>
    <w:rsid w:val="00B054C2"/>
    <w:rsid w:val="00B06036"/>
    <w:rsid w:val="00B07217"/>
    <w:rsid w:val="00B078C4"/>
    <w:rsid w:val="00B07978"/>
    <w:rsid w:val="00B07EB1"/>
    <w:rsid w:val="00B1007E"/>
    <w:rsid w:val="00B1030A"/>
    <w:rsid w:val="00B11573"/>
    <w:rsid w:val="00B11F61"/>
    <w:rsid w:val="00B12027"/>
    <w:rsid w:val="00B12029"/>
    <w:rsid w:val="00B127A3"/>
    <w:rsid w:val="00B13279"/>
    <w:rsid w:val="00B13591"/>
    <w:rsid w:val="00B1493F"/>
    <w:rsid w:val="00B14CF8"/>
    <w:rsid w:val="00B15125"/>
    <w:rsid w:val="00B157F9"/>
    <w:rsid w:val="00B15F81"/>
    <w:rsid w:val="00B16094"/>
    <w:rsid w:val="00B16110"/>
    <w:rsid w:val="00B161D5"/>
    <w:rsid w:val="00B1672D"/>
    <w:rsid w:val="00B16E7F"/>
    <w:rsid w:val="00B17026"/>
    <w:rsid w:val="00B173B1"/>
    <w:rsid w:val="00B17B69"/>
    <w:rsid w:val="00B17C0E"/>
    <w:rsid w:val="00B20256"/>
    <w:rsid w:val="00B20524"/>
    <w:rsid w:val="00B20D09"/>
    <w:rsid w:val="00B21F5E"/>
    <w:rsid w:val="00B230A1"/>
    <w:rsid w:val="00B23805"/>
    <w:rsid w:val="00B23A28"/>
    <w:rsid w:val="00B23BCF"/>
    <w:rsid w:val="00B24494"/>
    <w:rsid w:val="00B24670"/>
    <w:rsid w:val="00B2500A"/>
    <w:rsid w:val="00B252A2"/>
    <w:rsid w:val="00B25C8A"/>
    <w:rsid w:val="00B25D80"/>
    <w:rsid w:val="00B260BF"/>
    <w:rsid w:val="00B261CE"/>
    <w:rsid w:val="00B26BD4"/>
    <w:rsid w:val="00B2763F"/>
    <w:rsid w:val="00B278BB"/>
    <w:rsid w:val="00B27AAC"/>
    <w:rsid w:val="00B30929"/>
    <w:rsid w:val="00B30B10"/>
    <w:rsid w:val="00B30C5D"/>
    <w:rsid w:val="00B30FD7"/>
    <w:rsid w:val="00B31BDE"/>
    <w:rsid w:val="00B3285B"/>
    <w:rsid w:val="00B32B4F"/>
    <w:rsid w:val="00B33B7E"/>
    <w:rsid w:val="00B33F73"/>
    <w:rsid w:val="00B33FD2"/>
    <w:rsid w:val="00B347A8"/>
    <w:rsid w:val="00B36141"/>
    <w:rsid w:val="00B361B8"/>
    <w:rsid w:val="00B372AA"/>
    <w:rsid w:val="00B37F9E"/>
    <w:rsid w:val="00B40445"/>
    <w:rsid w:val="00B409E0"/>
    <w:rsid w:val="00B40BC6"/>
    <w:rsid w:val="00B411D0"/>
    <w:rsid w:val="00B41888"/>
    <w:rsid w:val="00B41AC3"/>
    <w:rsid w:val="00B423EC"/>
    <w:rsid w:val="00B424AA"/>
    <w:rsid w:val="00B428C8"/>
    <w:rsid w:val="00B42B75"/>
    <w:rsid w:val="00B43270"/>
    <w:rsid w:val="00B43424"/>
    <w:rsid w:val="00B43DEA"/>
    <w:rsid w:val="00B449E7"/>
    <w:rsid w:val="00B45A52"/>
    <w:rsid w:val="00B460AE"/>
    <w:rsid w:val="00B46175"/>
    <w:rsid w:val="00B4622A"/>
    <w:rsid w:val="00B46565"/>
    <w:rsid w:val="00B47B5A"/>
    <w:rsid w:val="00B47ED0"/>
    <w:rsid w:val="00B47F52"/>
    <w:rsid w:val="00B50332"/>
    <w:rsid w:val="00B50D0C"/>
    <w:rsid w:val="00B51F49"/>
    <w:rsid w:val="00B52DD9"/>
    <w:rsid w:val="00B5306C"/>
    <w:rsid w:val="00B53362"/>
    <w:rsid w:val="00B53C5C"/>
    <w:rsid w:val="00B53E2D"/>
    <w:rsid w:val="00B5410C"/>
    <w:rsid w:val="00B548B7"/>
    <w:rsid w:val="00B558E1"/>
    <w:rsid w:val="00B566D6"/>
    <w:rsid w:val="00B56A26"/>
    <w:rsid w:val="00B56B54"/>
    <w:rsid w:val="00B56BEE"/>
    <w:rsid w:val="00B57246"/>
    <w:rsid w:val="00B5779B"/>
    <w:rsid w:val="00B6147A"/>
    <w:rsid w:val="00B616FD"/>
    <w:rsid w:val="00B61994"/>
    <w:rsid w:val="00B61B66"/>
    <w:rsid w:val="00B61D67"/>
    <w:rsid w:val="00B621C4"/>
    <w:rsid w:val="00B6221B"/>
    <w:rsid w:val="00B625BC"/>
    <w:rsid w:val="00B62EF0"/>
    <w:rsid w:val="00B62F63"/>
    <w:rsid w:val="00B633EB"/>
    <w:rsid w:val="00B63626"/>
    <w:rsid w:val="00B63C32"/>
    <w:rsid w:val="00B63CE6"/>
    <w:rsid w:val="00B63FFC"/>
    <w:rsid w:val="00B64956"/>
    <w:rsid w:val="00B6530E"/>
    <w:rsid w:val="00B65413"/>
    <w:rsid w:val="00B65C16"/>
    <w:rsid w:val="00B664C7"/>
    <w:rsid w:val="00B665F5"/>
    <w:rsid w:val="00B670D5"/>
    <w:rsid w:val="00B674A4"/>
    <w:rsid w:val="00B67529"/>
    <w:rsid w:val="00B67E38"/>
    <w:rsid w:val="00B67F0F"/>
    <w:rsid w:val="00B70275"/>
    <w:rsid w:val="00B713D8"/>
    <w:rsid w:val="00B71DDF"/>
    <w:rsid w:val="00B72A91"/>
    <w:rsid w:val="00B72AE9"/>
    <w:rsid w:val="00B73495"/>
    <w:rsid w:val="00B73611"/>
    <w:rsid w:val="00B7368E"/>
    <w:rsid w:val="00B739F6"/>
    <w:rsid w:val="00B74259"/>
    <w:rsid w:val="00B7455D"/>
    <w:rsid w:val="00B74F9D"/>
    <w:rsid w:val="00B75A25"/>
    <w:rsid w:val="00B75E9E"/>
    <w:rsid w:val="00B75F02"/>
    <w:rsid w:val="00B76171"/>
    <w:rsid w:val="00B762BF"/>
    <w:rsid w:val="00B766F5"/>
    <w:rsid w:val="00B76C4F"/>
    <w:rsid w:val="00B76EF4"/>
    <w:rsid w:val="00B7745A"/>
    <w:rsid w:val="00B777F6"/>
    <w:rsid w:val="00B778CB"/>
    <w:rsid w:val="00B77E4F"/>
    <w:rsid w:val="00B80309"/>
    <w:rsid w:val="00B80661"/>
    <w:rsid w:val="00B8091E"/>
    <w:rsid w:val="00B81008"/>
    <w:rsid w:val="00B8197E"/>
    <w:rsid w:val="00B81A6C"/>
    <w:rsid w:val="00B81E09"/>
    <w:rsid w:val="00B82CD3"/>
    <w:rsid w:val="00B82E7C"/>
    <w:rsid w:val="00B83612"/>
    <w:rsid w:val="00B8409D"/>
    <w:rsid w:val="00B845E2"/>
    <w:rsid w:val="00B8501E"/>
    <w:rsid w:val="00B85DE5"/>
    <w:rsid w:val="00B8669E"/>
    <w:rsid w:val="00B86D34"/>
    <w:rsid w:val="00B8705B"/>
    <w:rsid w:val="00B87A81"/>
    <w:rsid w:val="00B90E01"/>
    <w:rsid w:val="00B90F73"/>
    <w:rsid w:val="00B911A9"/>
    <w:rsid w:val="00B92B58"/>
    <w:rsid w:val="00B93B59"/>
    <w:rsid w:val="00B93F2D"/>
    <w:rsid w:val="00B9406A"/>
    <w:rsid w:val="00B96377"/>
    <w:rsid w:val="00B96AF7"/>
    <w:rsid w:val="00B96EBC"/>
    <w:rsid w:val="00BA04A6"/>
    <w:rsid w:val="00BA18A2"/>
    <w:rsid w:val="00BA19A1"/>
    <w:rsid w:val="00BA2280"/>
    <w:rsid w:val="00BA2410"/>
    <w:rsid w:val="00BA2A08"/>
    <w:rsid w:val="00BA2B6B"/>
    <w:rsid w:val="00BA2D6D"/>
    <w:rsid w:val="00BA3D0F"/>
    <w:rsid w:val="00BA3E95"/>
    <w:rsid w:val="00BA3FA7"/>
    <w:rsid w:val="00BA45BB"/>
    <w:rsid w:val="00BA45F7"/>
    <w:rsid w:val="00BA524D"/>
    <w:rsid w:val="00BA558E"/>
    <w:rsid w:val="00BA56D2"/>
    <w:rsid w:val="00BA576F"/>
    <w:rsid w:val="00BA5C8C"/>
    <w:rsid w:val="00BA5DC4"/>
    <w:rsid w:val="00BA6442"/>
    <w:rsid w:val="00BA64D2"/>
    <w:rsid w:val="00BA6715"/>
    <w:rsid w:val="00BA7034"/>
    <w:rsid w:val="00BA76E0"/>
    <w:rsid w:val="00BB0493"/>
    <w:rsid w:val="00BB15A2"/>
    <w:rsid w:val="00BB176E"/>
    <w:rsid w:val="00BB1C2D"/>
    <w:rsid w:val="00BB1E19"/>
    <w:rsid w:val="00BB1E9C"/>
    <w:rsid w:val="00BB2165"/>
    <w:rsid w:val="00BB2A25"/>
    <w:rsid w:val="00BB312A"/>
    <w:rsid w:val="00BB3EEA"/>
    <w:rsid w:val="00BB4016"/>
    <w:rsid w:val="00BB428E"/>
    <w:rsid w:val="00BB4CCB"/>
    <w:rsid w:val="00BB51E9"/>
    <w:rsid w:val="00BB5D25"/>
    <w:rsid w:val="00BB5F40"/>
    <w:rsid w:val="00BB5F4F"/>
    <w:rsid w:val="00BB5FDB"/>
    <w:rsid w:val="00BB6339"/>
    <w:rsid w:val="00BB6EF4"/>
    <w:rsid w:val="00BB72E3"/>
    <w:rsid w:val="00BB7AFA"/>
    <w:rsid w:val="00BC0AB7"/>
    <w:rsid w:val="00BC0FDC"/>
    <w:rsid w:val="00BC1EB6"/>
    <w:rsid w:val="00BC220F"/>
    <w:rsid w:val="00BC2A3D"/>
    <w:rsid w:val="00BC3053"/>
    <w:rsid w:val="00BC3DE4"/>
    <w:rsid w:val="00BC4D2E"/>
    <w:rsid w:val="00BC5953"/>
    <w:rsid w:val="00BC7772"/>
    <w:rsid w:val="00BC79E6"/>
    <w:rsid w:val="00BD065A"/>
    <w:rsid w:val="00BD0C53"/>
    <w:rsid w:val="00BD0FD1"/>
    <w:rsid w:val="00BD16B0"/>
    <w:rsid w:val="00BD195B"/>
    <w:rsid w:val="00BD1D63"/>
    <w:rsid w:val="00BD20D5"/>
    <w:rsid w:val="00BD27D8"/>
    <w:rsid w:val="00BD2C31"/>
    <w:rsid w:val="00BD37DE"/>
    <w:rsid w:val="00BD48AC"/>
    <w:rsid w:val="00BD4B24"/>
    <w:rsid w:val="00BD4E8B"/>
    <w:rsid w:val="00BD4FED"/>
    <w:rsid w:val="00BD521F"/>
    <w:rsid w:val="00BD5C4B"/>
    <w:rsid w:val="00BD5F1A"/>
    <w:rsid w:val="00BD61B7"/>
    <w:rsid w:val="00BD660B"/>
    <w:rsid w:val="00BE012F"/>
    <w:rsid w:val="00BE03AF"/>
    <w:rsid w:val="00BE1234"/>
    <w:rsid w:val="00BE13AB"/>
    <w:rsid w:val="00BE230C"/>
    <w:rsid w:val="00BE2851"/>
    <w:rsid w:val="00BE2FA6"/>
    <w:rsid w:val="00BE31CD"/>
    <w:rsid w:val="00BE333F"/>
    <w:rsid w:val="00BE3BB1"/>
    <w:rsid w:val="00BE48D3"/>
    <w:rsid w:val="00BE4948"/>
    <w:rsid w:val="00BE4C78"/>
    <w:rsid w:val="00BE564D"/>
    <w:rsid w:val="00BE6148"/>
    <w:rsid w:val="00BE69C7"/>
    <w:rsid w:val="00BE7231"/>
    <w:rsid w:val="00BE7406"/>
    <w:rsid w:val="00BE7536"/>
    <w:rsid w:val="00BE7603"/>
    <w:rsid w:val="00BE7AF5"/>
    <w:rsid w:val="00BF0229"/>
    <w:rsid w:val="00BF042D"/>
    <w:rsid w:val="00BF0738"/>
    <w:rsid w:val="00BF0CC0"/>
    <w:rsid w:val="00BF0E3D"/>
    <w:rsid w:val="00BF1086"/>
    <w:rsid w:val="00BF10FA"/>
    <w:rsid w:val="00BF2052"/>
    <w:rsid w:val="00BF27D0"/>
    <w:rsid w:val="00BF2C0E"/>
    <w:rsid w:val="00BF3279"/>
    <w:rsid w:val="00BF35ED"/>
    <w:rsid w:val="00BF3B9A"/>
    <w:rsid w:val="00BF3CC2"/>
    <w:rsid w:val="00BF43B3"/>
    <w:rsid w:val="00BF4738"/>
    <w:rsid w:val="00BF47DD"/>
    <w:rsid w:val="00BF4AF2"/>
    <w:rsid w:val="00BF5BE6"/>
    <w:rsid w:val="00BF6223"/>
    <w:rsid w:val="00BF64B6"/>
    <w:rsid w:val="00BF658A"/>
    <w:rsid w:val="00BF67D2"/>
    <w:rsid w:val="00BF68AB"/>
    <w:rsid w:val="00BF68D6"/>
    <w:rsid w:val="00BF6F23"/>
    <w:rsid w:val="00BF74C7"/>
    <w:rsid w:val="00BF79B1"/>
    <w:rsid w:val="00BF7EBF"/>
    <w:rsid w:val="00C0010A"/>
    <w:rsid w:val="00C006C8"/>
    <w:rsid w:val="00C00DEA"/>
    <w:rsid w:val="00C01251"/>
    <w:rsid w:val="00C0149B"/>
    <w:rsid w:val="00C015F1"/>
    <w:rsid w:val="00C01771"/>
    <w:rsid w:val="00C01D28"/>
    <w:rsid w:val="00C01F33"/>
    <w:rsid w:val="00C02CC6"/>
    <w:rsid w:val="00C03A17"/>
    <w:rsid w:val="00C040F7"/>
    <w:rsid w:val="00C042EF"/>
    <w:rsid w:val="00C04348"/>
    <w:rsid w:val="00C04386"/>
    <w:rsid w:val="00C044AB"/>
    <w:rsid w:val="00C04846"/>
    <w:rsid w:val="00C05081"/>
    <w:rsid w:val="00C05706"/>
    <w:rsid w:val="00C06010"/>
    <w:rsid w:val="00C06275"/>
    <w:rsid w:val="00C07377"/>
    <w:rsid w:val="00C0760B"/>
    <w:rsid w:val="00C10478"/>
    <w:rsid w:val="00C10BB3"/>
    <w:rsid w:val="00C10DAA"/>
    <w:rsid w:val="00C10FB7"/>
    <w:rsid w:val="00C1165A"/>
    <w:rsid w:val="00C12107"/>
    <w:rsid w:val="00C1267B"/>
    <w:rsid w:val="00C132CB"/>
    <w:rsid w:val="00C13AA5"/>
    <w:rsid w:val="00C13AB2"/>
    <w:rsid w:val="00C13D06"/>
    <w:rsid w:val="00C13EDF"/>
    <w:rsid w:val="00C143A0"/>
    <w:rsid w:val="00C146BD"/>
    <w:rsid w:val="00C14D4B"/>
    <w:rsid w:val="00C14DB8"/>
    <w:rsid w:val="00C14E8B"/>
    <w:rsid w:val="00C153CC"/>
    <w:rsid w:val="00C154BB"/>
    <w:rsid w:val="00C15903"/>
    <w:rsid w:val="00C16281"/>
    <w:rsid w:val="00C1743B"/>
    <w:rsid w:val="00C17EE6"/>
    <w:rsid w:val="00C17EF3"/>
    <w:rsid w:val="00C2083F"/>
    <w:rsid w:val="00C209D4"/>
    <w:rsid w:val="00C2199B"/>
    <w:rsid w:val="00C227D0"/>
    <w:rsid w:val="00C23519"/>
    <w:rsid w:val="00C23A53"/>
    <w:rsid w:val="00C243A6"/>
    <w:rsid w:val="00C247CA"/>
    <w:rsid w:val="00C2483C"/>
    <w:rsid w:val="00C24DA4"/>
    <w:rsid w:val="00C254D4"/>
    <w:rsid w:val="00C27492"/>
    <w:rsid w:val="00C278A8"/>
    <w:rsid w:val="00C279B5"/>
    <w:rsid w:val="00C27C45"/>
    <w:rsid w:val="00C30755"/>
    <w:rsid w:val="00C3090F"/>
    <w:rsid w:val="00C30C75"/>
    <w:rsid w:val="00C31BF9"/>
    <w:rsid w:val="00C31D12"/>
    <w:rsid w:val="00C32917"/>
    <w:rsid w:val="00C3295F"/>
    <w:rsid w:val="00C32B78"/>
    <w:rsid w:val="00C32EFB"/>
    <w:rsid w:val="00C3312F"/>
    <w:rsid w:val="00C332A1"/>
    <w:rsid w:val="00C33BB7"/>
    <w:rsid w:val="00C33C7F"/>
    <w:rsid w:val="00C33F48"/>
    <w:rsid w:val="00C344EA"/>
    <w:rsid w:val="00C34DEC"/>
    <w:rsid w:val="00C3519E"/>
    <w:rsid w:val="00C36072"/>
    <w:rsid w:val="00C360CF"/>
    <w:rsid w:val="00C3664F"/>
    <w:rsid w:val="00C3695A"/>
    <w:rsid w:val="00C37043"/>
    <w:rsid w:val="00C3719D"/>
    <w:rsid w:val="00C37CB2"/>
    <w:rsid w:val="00C37D54"/>
    <w:rsid w:val="00C40A6D"/>
    <w:rsid w:val="00C40A7E"/>
    <w:rsid w:val="00C41330"/>
    <w:rsid w:val="00C41594"/>
    <w:rsid w:val="00C4165C"/>
    <w:rsid w:val="00C4188A"/>
    <w:rsid w:val="00C4218B"/>
    <w:rsid w:val="00C42ABF"/>
    <w:rsid w:val="00C42E10"/>
    <w:rsid w:val="00C42E8A"/>
    <w:rsid w:val="00C434AE"/>
    <w:rsid w:val="00C44692"/>
    <w:rsid w:val="00C46A46"/>
    <w:rsid w:val="00C473A5"/>
    <w:rsid w:val="00C47449"/>
    <w:rsid w:val="00C4786E"/>
    <w:rsid w:val="00C47C3F"/>
    <w:rsid w:val="00C52255"/>
    <w:rsid w:val="00C52375"/>
    <w:rsid w:val="00C52574"/>
    <w:rsid w:val="00C52D6A"/>
    <w:rsid w:val="00C53A15"/>
    <w:rsid w:val="00C53F59"/>
    <w:rsid w:val="00C54435"/>
    <w:rsid w:val="00C54995"/>
    <w:rsid w:val="00C54BED"/>
    <w:rsid w:val="00C54D41"/>
    <w:rsid w:val="00C54FD1"/>
    <w:rsid w:val="00C56000"/>
    <w:rsid w:val="00C56EF4"/>
    <w:rsid w:val="00C57697"/>
    <w:rsid w:val="00C576EA"/>
    <w:rsid w:val="00C57C7E"/>
    <w:rsid w:val="00C60577"/>
    <w:rsid w:val="00C6071A"/>
    <w:rsid w:val="00C60783"/>
    <w:rsid w:val="00C6093D"/>
    <w:rsid w:val="00C60BFD"/>
    <w:rsid w:val="00C60F41"/>
    <w:rsid w:val="00C60F80"/>
    <w:rsid w:val="00C60FBC"/>
    <w:rsid w:val="00C6175A"/>
    <w:rsid w:val="00C62386"/>
    <w:rsid w:val="00C62C54"/>
    <w:rsid w:val="00C633F0"/>
    <w:rsid w:val="00C637FF"/>
    <w:rsid w:val="00C639AF"/>
    <w:rsid w:val="00C63A34"/>
    <w:rsid w:val="00C63B62"/>
    <w:rsid w:val="00C63C83"/>
    <w:rsid w:val="00C64095"/>
    <w:rsid w:val="00C6426C"/>
    <w:rsid w:val="00C64672"/>
    <w:rsid w:val="00C647FC"/>
    <w:rsid w:val="00C64EDA"/>
    <w:rsid w:val="00C65007"/>
    <w:rsid w:val="00C652C6"/>
    <w:rsid w:val="00C65491"/>
    <w:rsid w:val="00C6562F"/>
    <w:rsid w:val="00C658C7"/>
    <w:rsid w:val="00C65BE4"/>
    <w:rsid w:val="00C65D47"/>
    <w:rsid w:val="00C67616"/>
    <w:rsid w:val="00C67AFF"/>
    <w:rsid w:val="00C70697"/>
    <w:rsid w:val="00C717C9"/>
    <w:rsid w:val="00C71D6B"/>
    <w:rsid w:val="00C72093"/>
    <w:rsid w:val="00C72369"/>
    <w:rsid w:val="00C728A7"/>
    <w:rsid w:val="00C72EF4"/>
    <w:rsid w:val="00C7381D"/>
    <w:rsid w:val="00C74334"/>
    <w:rsid w:val="00C744FE"/>
    <w:rsid w:val="00C74AA3"/>
    <w:rsid w:val="00C7505F"/>
    <w:rsid w:val="00C7520A"/>
    <w:rsid w:val="00C75D2F"/>
    <w:rsid w:val="00C767BE"/>
    <w:rsid w:val="00C76820"/>
    <w:rsid w:val="00C76CE0"/>
    <w:rsid w:val="00C76E3C"/>
    <w:rsid w:val="00C76F18"/>
    <w:rsid w:val="00C7763E"/>
    <w:rsid w:val="00C77724"/>
    <w:rsid w:val="00C77BC7"/>
    <w:rsid w:val="00C77D34"/>
    <w:rsid w:val="00C80480"/>
    <w:rsid w:val="00C8053A"/>
    <w:rsid w:val="00C808F3"/>
    <w:rsid w:val="00C81568"/>
    <w:rsid w:val="00C81630"/>
    <w:rsid w:val="00C81825"/>
    <w:rsid w:val="00C8199C"/>
    <w:rsid w:val="00C81A93"/>
    <w:rsid w:val="00C82622"/>
    <w:rsid w:val="00C82D30"/>
    <w:rsid w:val="00C83961"/>
    <w:rsid w:val="00C83B35"/>
    <w:rsid w:val="00C83E26"/>
    <w:rsid w:val="00C83F84"/>
    <w:rsid w:val="00C8452E"/>
    <w:rsid w:val="00C84818"/>
    <w:rsid w:val="00C84DC4"/>
    <w:rsid w:val="00C8528A"/>
    <w:rsid w:val="00C85942"/>
    <w:rsid w:val="00C85A6A"/>
    <w:rsid w:val="00C864E2"/>
    <w:rsid w:val="00C86F7D"/>
    <w:rsid w:val="00C9012D"/>
    <w:rsid w:val="00C9027A"/>
    <w:rsid w:val="00C902DE"/>
    <w:rsid w:val="00C9068E"/>
    <w:rsid w:val="00C906BB"/>
    <w:rsid w:val="00C90E52"/>
    <w:rsid w:val="00C9106D"/>
    <w:rsid w:val="00C9107D"/>
    <w:rsid w:val="00C912B8"/>
    <w:rsid w:val="00C91684"/>
    <w:rsid w:val="00C91913"/>
    <w:rsid w:val="00C9220A"/>
    <w:rsid w:val="00C92604"/>
    <w:rsid w:val="00C9263D"/>
    <w:rsid w:val="00C93720"/>
    <w:rsid w:val="00C93814"/>
    <w:rsid w:val="00C93C4B"/>
    <w:rsid w:val="00C93CC5"/>
    <w:rsid w:val="00C94211"/>
    <w:rsid w:val="00C944AB"/>
    <w:rsid w:val="00C95B40"/>
    <w:rsid w:val="00C95DC0"/>
    <w:rsid w:val="00C96D0C"/>
    <w:rsid w:val="00C96D5D"/>
    <w:rsid w:val="00C9721F"/>
    <w:rsid w:val="00C972DE"/>
    <w:rsid w:val="00C97357"/>
    <w:rsid w:val="00C97649"/>
    <w:rsid w:val="00C97A45"/>
    <w:rsid w:val="00C97AE4"/>
    <w:rsid w:val="00C97DC3"/>
    <w:rsid w:val="00CA0100"/>
    <w:rsid w:val="00CA097E"/>
    <w:rsid w:val="00CA1ED8"/>
    <w:rsid w:val="00CA2731"/>
    <w:rsid w:val="00CA283D"/>
    <w:rsid w:val="00CA2892"/>
    <w:rsid w:val="00CA2AA7"/>
    <w:rsid w:val="00CA2FA6"/>
    <w:rsid w:val="00CA3CBC"/>
    <w:rsid w:val="00CA3F8D"/>
    <w:rsid w:val="00CA4867"/>
    <w:rsid w:val="00CA5258"/>
    <w:rsid w:val="00CA55C8"/>
    <w:rsid w:val="00CA5623"/>
    <w:rsid w:val="00CA5BC2"/>
    <w:rsid w:val="00CA5D0E"/>
    <w:rsid w:val="00CA5EDF"/>
    <w:rsid w:val="00CA5F5B"/>
    <w:rsid w:val="00CA6061"/>
    <w:rsid w:val="00CA6219"/>
    <w:rsid w:val="00CA625B"/>
    <w:rsid w:val="00CA6FBC"/>
    <w:rsid w:val="00CA7CCC"/>
    <w:rsid w:val="00CB083C"/>
    <w:rsid w:val="00CB1F63"/>
    <w:rsid w:val="00CB208C"/>
    <w:rsid w:val="00CB235E"/>
    <w:rsid w:val="00CB26D7"/>
    <w:rsid w:val="00CB27BB"/>
    <w:rsid w:val="00CB2AB5"/>
    <w:rsid w:val="00CB48F5"/>
    <w:rsid w:val="00CB5177"/>
    <w:rsid w:val="00CB65EC"/>
    <w:rsid w:val="00CB681A"/>
    <w:rsid w:val="00CB6BCD"/>
    <w:rsid w:val="00CB6DD9"/>
    <w:rsid w:val="00CB7170"/>
    <w:rsid w:val="00CB72CC"/>
    <w:rsid w:val="00CB733E"/>
    <w:rsid w:val="00CB75CE"/>
    <w:rsid w:val="00CB7FC4"/>
    <w:rsid w:val="00CC040E"/>
    <w:rsid w:val="00CC05B6"/>
    <w:rsid w:val="00CC111F"/>
    <w:rsid w:val="00CC157F"/>
    <w:rsid w:val="00CC1B73"/>
    <w:rsid w:val="00CC2011"/>
    <w:rsid w:val="00CC2296"/>
    <w:rsid w:val="00CC2C9A"/>
    <w:rsid w:val="00CC3A96"/>
    <w:rsid w:val="00CC3C3A"/>
    <w:rsid w:val="00CC3EA0"/>
    <w:rsid w:val="00CC4668"/>
    <w:rsid w:val="00CC49E8"/>
    <w:rsid w:val="00CC4A18"/>
    <w:rsid w:val="00CC56DB"/>
    <w:rsid w:val="00CC5EE1"/>
    <w:rsid w:val="00CC6919"/>
    <w:rsid w:val="00CC6A38"/>
    <w:rsid w:val="00CC71D0"/>
    <w:rsid w:val="00CC7893"/>
    <w:rsid w:val="00CC7B45"/>
    <w:rsid w:val="00CC7EE3"/>
    <w:rsid w:val="00CD056E"/>
    <w:rsid w:val="00CD0707"/>
    <w:rsid w:val="00CD08EC"/>
    <w:rsid w:val="00CD0AA0"/>
    <w:rsid w:val="00CD1188"/>
    <w:rsid w:val="00CD1C8D"/>
    <w:rsid w:val="00CD1CA8"/>
    <w:rsid w:val="00CD2C08"/>
    <w:rsid w:val="00CD2D15"/>
    <w:rsid w:val="00CD2ED1"/>
    <w:rsid w:val="00CD337B"/>
    <w:rsid w:val="00CD3697"/>
    <w:rsid w:val="00CD3AB1"/>
    <w:rsid w:val="00CD3CBF"/>
    <w:rsid w:val="00CD3E1E"/>
    <w:rsid w:val="00CD3EFC"/>
    <w:rsid w:val="00CD4035"/>
    <w:rsid w:val="00CD4500"/>
    <w:rsid w:val="00CD4ADD"/>
    <w:rsid w:val="00CD5346"/>
    <w:rsid w:val="00CD5D79"/>
    <w:rsid w:val="00CD5DE9"/>
    <w:rsid w:val="00CD612E"/>
    <w:rsid w:val="00CD6A4B"/>
    <w:rsid w:val="00CD6D51"/>
    <w:rsid w:val="00CD6EA1"/>
    <w:rsid w:val="00CD6EDA"/>
    <w:rsid w:val="00CD7432"/>
    <w:rsid w:val="00CD77B1"/>
    <w:rsid w:val="00CE02F2"/>
    <w:rsid w:val="00CE0424"/>
    <w:rsid w:val="00CE042E"/>
    <w:rsid w:val="00CE0733"/>
    <w:rsid w:val="00CE0F50"/>
    <w:rsid w:val="00CE0FDC"/>
    <w:rsid w:val="00CE112E"/>
    <w:rsid w:val="00CE18A0"/>
    <w:rsid w:val="00CE2F8B"/>
    <w:rsid w:val="00CE39E9"/>
    <w:rsid w:val="00CE3B29"/>
    <w:rsid w:val="00CE44A3"/>
    <w:rsid w:val="00CE4882"/>
    <w:rsid w:val="00CE4D30"/>
    <w:rsid w:val="00CE4FEE"/>
    <w:rsid w:val="00CE583E"/>
    <w:rsid w:val="00CE589B"/>
    <w:rsid w:val="00CE5AA1"/>
    <w:rsid w:val="00CE6155"/>
    <w:rsid w:val="00CE6762"/>
    <w:rsid w:val="00CE6900"/>
    <w:rsid w:val="00CE7561"/>
    <w:rsid w:val="00CE792D"/>
    <w:rsid w:val="00CF04B6"/>
    <w:rsid w:val="00CF1354"/>
    <w:rsid w:val="00CF1C49"/>
    <w:rsid w:val="00CF2150"/>
    <w:rsid w:val="00CF282E"/>
    <w:rsid w:val="00CF2A43"/>
    <w:rsid w:val="00CF318F"/>
    <w:rsid w:val="00CF3294"/>
    <w:rsid w:val="00CF330A"/>
    <w:rsid w:val="00CF3842"/>
    <w:rsid w:val="00CF38BF"/>
    <w:rsid w:val="00CF3B1F"/>
    <w:rsid w:val="00CF3BF6"/>
    <w:rsid w:val="00CF4604"/>
    <w:rsid w:val="00CF4851"/>
    <w:rsid w:val="00CF4AE9"/>
    <w:rsid w:val="00CF4D5C"/>
    <w:rsid w:val="00CF57B3"/>
    <w:rsid w:val="00CF625B"/>
    <w:rsid w:val="00CF627C"/>
    <w:rsid w:val="00CF66E3"/>
    <w:rsid w:val="00CF687E"/>
    <w:rsid w:val="00CF7BA9"/>
    <w:rsid w:val="00CF7E13"/>
    <w:rsid w:val="00CF7FFD"/>
    <w:rsid w:val="00D003B8"/>
    <w:rsid w:val="00D01A1A"/>
    <w:rsid w:val="00D026D4"/>
    <w:rsid w:val="00D0349B"/>
    <w:rsid w:val="00D036B6"/>
    <w:rsid w:val="00D0388F"/>
    <w:rsid w:val="00D04642"/>
    <w:rsid w:val="00D04D9F"/>
    <w:rsid w:val="00D05667"/>
    <w:rsid w:val="00D072B4"/>
    <w:rsid w:val="00D079BD"/>
    <w:rsid w:val="00D079D0"/>
    <w:rsid w:val="00D07D52"/>
    <w:rsid w:val="00D07DFC"/>
    <w:rsid w:val="00D10249"/>
    <w:rsid w:val="00D102C5"/>
    <w:rsid w:val="00D109EE"/>
    <w:rsid w:val="00D10B26"/>
    <w:rsid w:val="00D10ECA"/>
    <w:rsid w:val="00D10F0B"/>
    <w:rsid w:val="00D115C3"/>
    <w:rsid w:val="00D11819"/>
    <w:rsid w:val="00D11844"/>
    <w:rsid w:val="00D11897"/>
    <w:rsid w:val="00D12121"/>
    <w:rsid w:val="00D12147"/>
    <w:rsid w:val="00D1262E"/>
    <w:rsid w:val="00D13071"/>
    <w:rsid w:val="00D13135"/>
    <w:rsid w:val="00D137D4"/>
    <w:rsid w:val="00D137F7"/>
    <w:rsid w:val="00D13994"/>
    <w:rsid w:val="00D13E4E"/>
    <w:rsid w:val="00D14003"/>
    <w:rsid w:val="00D14D1C"/>
    <w:rsid w:val="00D14DE3"/>
    <w:rsid w:val="00D16426"/>
    <w:rsid w:val="00D17222"/>
    <w:rsid w:val="00D173BB"/>
    <w:rsid w:val="00D175C0"/>
    <w:rsid w:val="00D17AD2"/>
    <w:rsid w:val="00D20C82"/>
    <w:rsid w:val="00D213A2"/>
    <w:rsid w:val="00D217E3"/>
    <w:rsid w:val="00D21B0A"/>
    <w:rsid w:val="00D22012"/>
    <w:rsid w:val="00D23238"/>
    <w:rsid w:val="00D239A7"/>
    <w:rsid w:val="00D23F47"/>
    <w:rsid w:val="00D23FDC"/>
    <w:rsid w:val="00D2671A"/>
    <w:rsid w:val="00D26C08"/>
    <w:rsid w:val="00D2717E"/>
    <w:rsid w:val="00D279EF"/>
    <w:rsid w:val="00D30A5D"/>
    <w:rsid w:val="00D30B27"/>
    <w:rsid w:val="00D30B62"/>
    <w:rsid w:val="00D30CD5"/>
    <w:rsid w:val="00D31D90"/>
    <w:rsid w:val="00D325AC"/>
    <w:rsid w:val="00D3291A"/>
    <w:rsid w:val="00D32A2D"/>
    <w:rsid w:val="00D32FFF"/>
    <w:rsid w:val="00D3455A"/>
    <w:rsid w:val="00D348E2"/>
    <w:rsid w:val="00D34D9F"/>
    <w:rsid w:val="00D3526E"/>
    <w:rsid w:val="00D36E71"/>
    <w:rsid w:val="00D370E7"/>
    <w:rsid w:val="00D37530"/>
    <w:rsid w:val="00D37781"/>
    <w:rsid w:val="00D37D87"/>
    <w:rsid w:val="00D40103"/>
    <w:rsid w:val="00D40434"/>
    <w:rsid w:val="00D408BB"/>
    <w:rsid w:val="00D40B33"/>
    <w:rsid w:val="00D417C1"/>
    <w:rsid w:val="00D42C48"/>
    <w:rsid w:val="00D43017"/>
    <w:rsid w:val="00D4302F"/>
    <w:rsid w:val="00D4318F"/>
    <w:rsid w:val="00D438BF"/>
    <w:rsid w:val="00D4394C"/>
    <w:rsid w:val="00D43B50"/>
    <w:rsid w:val="00D440F8"/>
    <w:rsid w:val="00D446C2"/>
    <w:rsid w:val="00D44812"/>
    <w:rsid w:val="00D45508"/>
    <w:rsid w:val="00D458FF"/>
    <w:rsid w:val="00D45FB7"/>
    <w:rsid w:val="00D46097"/>
    <w:rsid w:val="00D46EC6"/>
    <w:rsid w:val="00D4755A"/>
    <w:rsid w:val="00D4756E"/>
    <w:rsid w:val="00D4781E"/>
    <w:rsid w:val="00D47845"/>
    <w:rsid w:val="00D47A99"/>
    <w:rsid w:val="00D50FB6"/>
    <w:rsid w:val="00D51103"/>
    <w:rsid w:val="00D517F8"/>
    <w:rsid w:val="00D518C4"/>
    <w:rsid w:val="00D518E7"/>
    <w:rsid w:val="00D52402"/>
    <w:rsid w:val="00D524DC"/>
    <w:rsid w:val="00D5282B"/>
    <w:rsid w:val="00D528EB"/>
    <w:rsid w:val="00D52A3F"/>
    <w:rsid w:val="00D533F7"/>
    <w:rsid w:val="00D53816"/>
    <w:rsid w:val="00D546FF"/>
    <w:rsid w:val="00D54B0A"/>
    <w:rsid w:val="00D54EA8"/>
    <w:rsid w:val="00D55A9B"/>
    <w:rsid w:val="00D55AD5"/>
    <w:rsid w:val="00D56D09"/>
    <w:rsid w:val="00D56D0A"/>
    <w:rsid w:val="00D57042"/>
    <w:rsid w:val="00D576CA"/>
    <w:rsid w:val="00D603EC"/>
    <w:rsid w:val="00D608A1"/>
    <w:rsid w:val="00D60925"/>
    <w:rsid w:val="00D609C5"/>
    <w:rsid w:val="00D60A66"/>
    <w:rsid w:val="00D61268"/>
    <w:rsid w:val="00D617FB"/>
    <w:rsid w:val="00D61AF5"/>
    <w:rsid w:val="00D61CD3"/>
    <w:rsid w:val="00D6211E"/>
    <w:rsid w:val="00D628DA"/>
    <w:rsid w:val="00D62CAA"/>
    <w:rsid w:val="00D62FAC"/>
    <w:rsid w:val="00D634A4"/>
    <w:rsid w:val="00D647BB"/>
    <w:rsid w:val="00D647C8"/>
    <w:rsid w:val="00D652B5"/>
    <w:rsid w:val="00D65451"/>
    <w:rsid w:val="00D66155"/>
    <w:rsid w:val="00D6696C"/>
    <w:rsid w:val="00D669EF"/>
    <w:rsid w:val="00D7017C"/>
    <w:rsid w:val="00D70288"/>
    <w:rsid w:val="00D7058D"/>
    <w:rsid w:val="00D70711"/>
    <w:rsid w:val="00D70747"/>
    <w:rsid w:val="00D708B0"/>
    <w:rsid w:val="00D70D90"/>
    <w:rsid w:val="00D7112B"/>
    <w:rsid w:val="00D71331"/>
    <w:rsid w:val="00D71B37"/>
    <w:rsid w:val="00D72354"/>
    <w:rsid w:val="00D72D36"/>
    <w:rsid w:val="00D73594"/>
    <w:rsid w:val="00D738B7"/>
    <w:rsid w:val="00D73ACF"/>
    <w:rsid w:val="00D74101"/>
    <w:rsid w:val="00D7425B"/>
    <w:rsid w:val="00D75BFD"/>
    <w:rsid w:val="00D75D29"/>
    <w:rsid w:val="00D76179"/>
    <w:rsid w:val="00D76522"/>
    <w:rsid w:val="00D774DF"/>
    <w:rsid w:val="00D77B1D"/>
    <w:rsid w:val="00D8021F"/>
    <w:rsid w:val="00D80383"/>
    <w:rsid w:val="00D8077F"/>
    <w:rsid w:val="00D80796"/>
    <w:rsid w:val="00D8093D"/>
    <w:rsid w:val="00D80EBD"/>
    <w:rsid w:val="00D81C52"/>
    <w:rsid w:val="00D81CED"/>
    <w:rsid w:val="00D81F2D"/>
    <w:rsid w:val="00D820E9"/>
    <w:rsid w:val="00D8221A"/>
    <w:rsid w:val="00D823C6"/>
    <w:rsid w:val="00D82894"/>
    <w:rsid w:val="00D8327F"/>
    <w:rsid w:val="00D83903"/>
    <w:rsid w:val="00D84B66"/>
    <w:rsid w:val="00D850AB"/>
    <w:rsid w:val="00D857FB"/>
    <w:rsid w:val="00D85D14"/>
    <w:rsid w:val="00D8629A"/>
    <w:rsid w:val="00D86CA3"/>
    <w:rsid w:val="00D87017"/>
    <w:rsid w:val="00D87064"/>
    <w:rsid w:val="00D871CE"/>
    <w:rsid w:val="00D8741B"/>
    <w:rsid w:val="00D87E5D"/>
    <w:rsid w:val="00D90203"/>
    <w:rsid w:val="00D90AF8"/>
    <w:rsid w:val="00D9196D"/>
    <w:rsid w:val="00D92982"/>
    <w:rsid w:val="00D93663"/>
    <w:rsid w:val="00D94312"/>
    <w:rsid w:val="00D94D92"/>
    <w:rsid w:val="00D94E0E"/>
    <w:rsid w:val="00D956A5"/>
    <w:rsid w:val="00D95A56"/>
    <w:rsid w:val="00D95F77"/>
    <w:rsid w:val="00D962FF"/>
    <w:rsid w:val="00D96334"/>
    <w:rsid w:val="00D97650"/>
    <w:rsid w:val="00D97F3C"/>
    <w:rsid w:val="00DA0110"/>
    <w:rsid w:val="00DA0DC3"/>
    <w:rsid w:val="00DA0E2F"/>
    <w:rsid w:val="00DA14FF"/>
    <w:rsid w:val="00DA1870"/>
    <w:rsid w:val="00DA197C"/>
    <w:rsid w:val="00DA293A"/>
    <w:rsid w:val="00DA2A31"/>
    <w:rsid w:val="00DA305E"/>
    <w:rsid w:val="00DA3844"/>
    <w:rsid w:val="00DA3A5E"/>
    <w:rsid w:val="00DA49B3"/>
    <w:rsid w:val="00DA4B1D"/>
    <w:rsid w:val="00DA4DC0"/>
    <w:rsid w:val="00DA4E42"/>
    <w:rsid w:val="00DA5417"/>
    <w:rsid w:val="00DA5470"/>
    <w:rsid w:val="00DA56E8"/>
    <w:rsid w:val="00DA5D51"/>
    <w:rsid w:val="00DA5E4F"/>
    <w:rsid w:val="00DA64BC"/>
    <w:rsid w:val="00DA6849"/>
    <w:rsid w:val="00DA6D81"/>
    <w:rsid w:val="00DA7995"/>
    <w:rsid w:val="00DB015F"/>
    <w:rsid w:val="00DB0177"/>
    <w:rsid w:val="00DB07A1"/>
    <w:rsid w:val="00DB0A9F"/>
    <w:rsid w:val="00DB0F5A"/>
    <w:rsid w:val="00DB189B"/>
    <w:rsid w:val="00DB1C6C"/>
    <w:rsid w:val="00DB1E21"/>
    <w:rsid w:val="00DB2A0B"/>
    <w:rsid w:val="00DB2A48"/>
    <w:rsid w:val="00DB2AFC"/>
    <w:rsid w:val="00DB3002"/>
    <w:rsid w:val="00DB377D"/>
    <w:rsid w:val="00DB470A"/>
    <w:rsid w:val="00DB4B7C"/>
    <w:rsid w:val="00DB5297"/>
    <w:rsid w:val="00DB548A"/>
    <w:rsid w:val="00DB7BA3"/>
    <w:rsid w:val="00DB7C62"/>
    <w:rsid w:val="00DC10C4"/>
    <w:rsid w:val="00DC12D4"/>
    <w:rsid w:val="00DC18DD"/>
    <w:rsid w:val="00DC1994"/>
    <w:rsid w:val="00DC1A27"/>
    <w:rsid w:val="00DC1A4F"/>
    <w:rsid w:val="00DC2625"/>
    <w:rsid w:val="00DC2A00"/>
    <w:rsid w:val="00DC2D36"/>
    <w:rsid w:val="00DC2E81"/>
    <w:rsid w:val="00DC30C2"/>
    <w:rsid w:val="00DC3208"/>
    <w:rsid w:val="00DC3282"/>
    <w:rsid w:val="00DC37FE"/>
    <w:rsid w:val="00DC3A56"/>
    <w:rsid w:val="00DC3F00"/>
    <w:rsid w:val="00DC3FD1"/>
    <w:rsid w:val="00DC4327"/>
    <w:rsid w:val="00DC46EE"/>
    <w:rsid w:val="00DC4EE9"/>
    <w:rsid w:val="00DC4F72"/>
    <w:rsid w:val="00DC53EF"/>
    <w:rsid w:val="00DC578D"/>
    <w:rsid w:val="00DC709C"/>
    <w:rsid w:val="00DC7982"/>
    <w:rsid w:val="00DC7FD6"/>
    <w:rsid w:val="00DD06F7"/>
    <w:rsid w:val="00DD0EAC"/>
    <w:rsid w:val="00DD0F21"/>
    <w:rsid w:val="00DD1125"/>
    <w:rsid w:val="00DD24AB"/>
    <w:rsid w:val="00DD261E"/>
    <w:rsid w:val="00DD28B0"/>
    <w:rsid w:val="00DD2943"/>
    <w:rsid w:val="00DD2CED"/>
    <w:rsid w:val="00DD2E94"/>
    <w:rsid w:val="00DD317D"/>
    <w:rsid w:val="00DD3B22"/>
    <w:rsid w:val="00DD4785"/>
    <w:rsid w:val="00DD58C4"/>
    <w:rsid w:val="00DD5FAF"/>
    <w:rsid w:val="00DD6391"/>
    <w:rsid w:val="00DD6F6F"/>
    <w:rsid w:val="00DD7900"/>
    <w:rsid w:val="00DD7CA8"/>
    <w:rsid w:val="00DE03E5"/>
    <w:rsid w:val="00DE0CD0"/>
    <w:rsid w:val="00DE1453"/>
    <w:rsid w:val="00DE1AA8"/>
    <w:rsid w:val="00DE2505"/>
    <w:rsid w:val="00DE26AF"/>
    <w:rsid w:val="00DE3474"/>
    <w:rsid w:val="00DE3FFE"/>
    <w:rsid w:val="00DE40E6"/>
    <w:rsid w:val="00DE49B3"/>
    <w:rsid w:val="00DE4BC4"/>
    <w:rsid w:val="00DE5608"/>
    <w:rsid w:val="00DE58D0"/>
    <w:rsid w:val="00DE5E3B"/>
    <w:rsid w:val="00DE654F"/>
    <w:rsid w:val="00DE7002"/>
    <w:rsid w:val="00DE7076"/>
    <w:rsid w:val="00DF02CE"/>
    <w:rsid w:val="00DF091A"/>
    <w:rsid w:val="00DF0A03"/>
    <w:rsid w:val="00DF0B6E"/>
    <w:rsid w:val="00DF0B89"/>
    <w:rsid w:val="00DF15E0"/>
    <w:rsid w:val="00DF19A7"/>
    <w:rsid w:val="00DF1AAB"/>
    <w:rsid w:val="00DF2887"/>
    <w:rsid w:val="00DF2BB0"/>
    <w:rsid w:val="00DF3075"/>
    <w:rsid w:val="00DF37A0"/>
    <w:rsid w:val="00DF4377"/>
    <w:rsid w:val="00DF4627"/>
    <w:rsid w:val="00DF54DC"/>
    <w:rsid w:val="00DF5545"/>
    <w:rsid w:val="00DF59D3"/>
    <w:rsid w:val="00DF6452"/>
    <w:rsid w:val="00DF6827"/>
    <w:rsid w:val="00DF696D"/>
    <w:rsid w:val="00DF7293"/>
    <w:rsid w:val="00DF72F8"/>
    <w:rsid w:val="00DF785A"/>
    <w:rsid w:val="00DF7E1F"/>
    <w:rsid w:val="00E00794"/>
    <w:rsid w:val="00E01B96"/>
    <w:rsid w:val="00E020AA"/>
    <w:rsid w:val="00E02250"/>
    <w:rsid w:val="00E028BB"/>
    <w:rsid w:val="00E028D3"/>
    <w:rsid w:val="00E02A67"/>
    <w:rsid w:val="00E02DC5"/>
    <w:rsid w:val="00E0379F"/>
    <w:rsid w:val="00E054CA"/>
    <w:rsid w:val="00E05FBD"/>
    <w:rsid w:val="00E0620A"/>
    <w:rsid w:val="00E064C8"/>
    <w:rsid w:val="00E06759"/>
    <w:rsid w:val="00E06866"/>
    <w:rsid w:val="00E06C9E"/>
    <w:rsid w:val="00E06FE1"/>
    <w:rsid w:val="00E07146"/>
    <w:rsid w:val="00E0721D"/>
    <w:rsid w:val="00E076F3"/>
    <w:rsid w:val="00E07A78"/>
    <w:rsid w:val="00E07C40"/>
    <w:rsid w:val="00E10845"/>
    <w:rsid w:val="00E110E7"/>
    <w:rsid w:val="00E111F9"/>
    <w:rsid w:val="00E1134C"/>
    <w:rsid w:val="00E11B20"/>
    <w:rsid w:val="00E1247A"/>
    <w:rsid w:val="00E1252B"/>
    <w:rsid w:val="00E12DC5"/>
    <w:rsid w:val="00E134C8"/>
    <w:rsid w:val="00E13672"/>
    <w:rsid w:val="00E13CDE"/>
    <w:rsid w:val="00E142E7"/>
    <w:rsid w:val="00E16072"/>
    <w:rsid w:val="00E164BC"/>
    <w:rsid w:val="00E16542"/>
    <w:rsid w:val="00E1660C"/>
    <w:rsid w:val="00E16C22"/>
    <w:rsid w:val="00E175C3"/>
    <w:rsid w:val="00E177CF"/>
    <w:rsid w:val="00E17828"/>
    <w:rsid w:val="00E17D7C"/>
    <w:rsid w:val="00E17FA2"/>
    <w:rsid w:val="00E20643"/>
    <w:rsid w:val="00E206D2"/>
    <w:rsid w:val="00E21356"/>
    <w:rsid w:val="00E21BF4"/>
    <w:rsid w:val="00E21DDF"/>
    <w:rsid w:val="00E21E97"/>
    <w:rsid w:val="00E22131"/>
    <w:rsid w:val="00E22330"/>
    <w:rsid w:val="00E2248C"/>
    <w:rsid w:val="00E224EE"/>
    <w:rsid w:val="00E22B42"/>
    <w:rsid w:val="00E22D8F"/>
    <w:rsid w:val="00E23153"/>
    <w:rsid w:val="00E2320D"/>
    <w:rsid w:val="00E23619"/>
    <w:rsid w:val="00E23F85"/>
    <w:rsid w:val="00E23FDA"/>
    <w:rsid w:val="00E2468D"/>
    <w:rsid w:val="00E2529F"/>
    <w:rsid w:val="00E26669"/>
    <w:rsid w:val="00E26BF1"/>
    <w:rsid w:val="00E26F51"/>
    <w:rsid w:val="00E27803"/>
    <w:rsid w:val="00E278BA"/>
    <w:rsid w:val="00E279C4"/>
    <w:rsid w:val="00E30028"/>
    <w:rsid w:val="00E3059A"/>
    <w:rsid w:val="00E30B5A"/>
    <w:rsid w:val="00E30BA7"/>
    <w:rsid w:val="00E3123D"/>
    <w:rsid w:val="00E3125F"/>
    <w:rsid w:val="00E31461"/>
    <w:rsid w:val="00E31605"/>
    <w:rsid w:val="00E3169A"/>
    <w:rsid w:val="00E31A92"/>
    <w:rsid w:val="00E31D43"/>
    <w:rsid w:val="00E32367"/>
    <w:rsid w:val="00E3237E"/>
    <w:rsid w:val="00E32608"/>
    <w:rsid w:val="00E3289F"/>
    <w:rsid w:val="00E339D1"/>
    <w:rsid w:val="00E33DBA"/>
    <w:rsid w:val="00E34188"/>
    <w:rsid w:val="00E34A91"/>
    <w:rsid w:val="00E34B6E"/>
    <w:rsid w:val="00E34CE3"/>
    <w:rsid w:val="00E34F83"/>
    <w:rsid w:val="00E35559"/>
    <w:rsid w:val="00E359A1"/>
    <w:rsid w:val="00E359C9"/>
    <w:rsid w:val="00E35AE9"/>
    <w:rsid w:val="00E365AA"/>
    <w:rsid w:val="00E3723A"/>
    <w:rsid w:val="00E37448"/>
    <w:rsid w:val="00E3759E"/>
    <w:rsid w:val="00E375AB"/>
    <w:rsid w:val="00E37860"/>
    <w:rsid w:val="00E379E4"/>
    <w:rsid w:val="00E37B02"/>
    <w:rsid w:val="00E405C7"/>
    <w:rsid w:val="00E40B2F"/>
    <w:rsid w:val="00E4160A"/>
    <w:rsid w:val="00E420FB"/>
    <w:rsid w:val="00E4303D"/>
    <w:rsid w:val="00E43320"/>
    <w:rsid w:val="00E443F2"/>
    <w:rsid w:val="00E443FC"/>
    <w:rsid w:val="00E446F1"/>
    <w:rsid w:val="00E44B9E"/>
    <w:rsid w:val="00E45060"/>
    <w:rsid w:val="00E45463"/>
    <w:rsid w:val="00E455B9"/>
    <w:rsid w:val="00E45E4B"/>
    <w:rsid w:val="00E46358"/>
    <w:rsid w:val="00E46886"/>
    <w:rsid w:val="00E47239"/>
    <w:rsid w:val="00E47AEF"/>
    <w:rsid w:val="00E501CF"/>
    <w:rsid w:val="00E50215"/>
    <w:rsid w:val="00E50C8E"/>
    <w:rsid w:val="00E50CBE"/>
    <w:rsid w:val="00E50D5A"/>
    <w:rsid w:val="00E513A8"/>
    <w:rsid w:val="00E51728"/>
    <w:rsid w:val="00E51E21"/>
    <w:rsid w:val="00E51E76"/>
    <w:rsid w:val="00E52973"/>
    <w:rsid w:val="00E52AAC"/>
    <w:rsid w:val="00E52ABD"/>
    <w:rsid w:val="00E536F8"/>
    <w:rsid w:val="00E53A4C"/>
    <w:rsid w:val="00E53AD0"/>
    <w:rsid w:val="00E53B75"/>
    <w:rsid w:val="00E546D3"/>
    <w:rsid w:val="00E54E3B"/>
    <w:rsid w:val="00E55170"/>
    <w:rsid w:val="00E55599"/>
    <w:rsid w:val="00E55833"/>
    <w:rsid w:val="00E56B2C"/>
    <w:rsid w:val="00E56CBE"/>
    <w:rsid w:val="00E56CDA"/>
    <w:rsid w:val="00E57565"/>
    <w:rsid w:val="00E6038A"/>
    <w:rsid w:val="00E60461"/>
    <w:rsid w:val="00E60843"/>
    <w:rsid w:val="00E609FD"/>
    <w:rsid w:val="00E60AC0"/>
    <w:rsid w:val="00E60D2C"/>
    <w:rsid w:val="00E618D4"/>
    <w:rsid w:val="00E62175"/>
    <w:rsid w:val="00E62F2F"/>
    <w:rsid w:val="00E63417"/>
    <w:rsid w:val="00E63838"/>
    <w:rsid w:val="00E63A0E"/>
    <w:rsid w:val="00E6418F"/>
    <w:rsid w:val="00E64218"/>
    <w:rsid w:val="00E64434"/>
    <w:rsid w:val="00E64853"/>
    <w:rsid w:val="00E64E8A"/>
    <w:rsid w:val="00E673DC"/>
    <w:rsid w:val="00E67C51"/>
    <w:rsid w:val="00E7148B"/>
    <w:rsid w:val="00E7157E"/>
    <w:rsid w:val="00E715F0"/>
    <w:rsid w:val="00E7167E"/>
    <w:rsid w:val="00E72405"/>
    <w:rsid w:val="00E72EFC"/>
    <w:rsid w:val="00E730AB"/>
    <w:rsid w:val="00E7317F"/>
    <w:rsid w:val="00E7329A"/>
    <w:rsid w:val="00E73FFF"/>
    <w:rsid w:val="00E74470"/>
    <w:rsid w:val="00E75257"/>
    <w:rsid w:val="00E75533"/>
    <w:rsid w:val="00E75881"/>
    <w:rsid w:val="00E758EC"/>
    <w:rsid w:val="00E75A1F"/>
    <w:rsid w:val="00E75A26"/>
    <w:rsid w:val="00E75BCE"/>
    <w:rsid w:val="00E75E9D"/>
    <w:rsid w:val="00E76BBB"/>
    <w:rsid w:val="00E77286"/>
    <w:rsid w:val="00E774CB"/>
    <w:rsid w:val="00E775C4"/>
    <w:rsid w:val="00E77D90"/>
    <w:rsid w:val="00E80501"/>
    <w:rsid w:val="00E80717"/>
    <w:rsid w:val="00E80A5F"/>
    <w:rsid w:val="00E81471"/>
    <w:rsid w:val="00E8234C"/>
    <w:rsid w:val="00E82B0D"/>
    <w:rsid w:val="00E8330D"/>
    <w:rsid w:val="00E83AA9"/>
    <w:rsid w:val="00E8480C"/>
    <w:rsid w:val="00E84914"/>
    <w:rsid w:val="00E84AA6"/>
    <w:rsid w:val="00E85210"/>
    <w:rsid w:val="00E855C3"/>
    <w:rsid w:val="00E855E2"/>
    <w:rsid w:val="00E85928"/>
    <w:rsid w:val="00E85C97"/>
    <w:rsid w:val="00E862A0"/>
    <w:rsid w:val="00E86B83"/>
    <w:rsid w:val="00E87822"/>
    <w:rsid w:val="00E90395"/>
    <w:rsid w:val="00E904A1"/>
    <w:rsid w:val="00E90A56"/>
    <w:rsid w:val="00E90E49"/>
    <w:rsid w:val="00E917F9"/>
    <w:rsid w:val="00E9189D"/>
    <w:rsid w:val="00E91B0F"/>
    <w:rsid w:val="00E9206F"/>
    <w:rsid w:val="00E9291C"/>
    <w:rsid w:val="00E93047"/>
    <w:rsid w:val="00E93EFE"/>
    <w:rsid w:val="00E93FFE"/>
    <w:rsid w:val="00E94580"/>
    <w:rsid w:val="00E9458C"/>
    <w:rsid w:val="00E94E21"/>
    <w:rsid w:val="00E94F8A"/>
    <w:rsid w:val="00E965D7"/>
    <w:rsid w:val="00E96E59"/>
    <w:rsid w:val="00E97838"/>
    <w:rsid w:val="00E97B45"/>
    <w:rsid w:val="00EA00A6"/>
    <w:rsid w:val="00EA085D"/>
    <w:rsid w:val="00EA1270"/>
    <w:rsid w:val="00EA1401"/>
    <w:rsid w:val="00EA3B70"/>
    <w:rsid w:val="00EA3D4E"/>
    <w:rsid w:val="00EA3D59"/>
    <w:rsid w:val="00EA4942"/>
    <w:rsid w:val="00EA495D"/>
    <w:rsid w:val="00EA5031"/>
    <w:rsid w:val="00EA70E3"/>
    <w:rsid w:val="00EA7844"/>
    <w:rsid w:val="00EA7A41"/>
    <w:rsid w:val="00EB077B"/>
    <w:rsid w:val="00EB1AF3"/>
    <w:rsid w:val="00EB2351"/>
    <w:rsid w:val="00EB3A4C"/>
    <w:rsid w:val="00EB4817"/>
    <w:rsid w:val="00EB487D"/>
    <w:rsid w:val="00EB4AA2"/>
    <w:rsid w:val="00EB4EA2"/>
    <w:rsid w:val="00EB506A"/>
    <w:rsid w:val="00EB6863"/>
    <w:rsid w:val="00EB6BE1"/>
    <w:rsid w:val="00EB70A4"/>
    <w:rsid w:val="00EB7E08"/>
    <w:rsid w:val="00EC0149"/>
    <w:rsid w:val="00EC05FF"/>
    <w:rsid w:val="00EC0E6F"/>
    <w:rsid w:val="00EC18F6"/>
    <w:rsid w:val="00EC1B68"/>
    <w:rsid w:val="00EC24D5"/>
    <w:rsid w:val="00EC25F4"/>
    <w:rsid w:val="00EC27C6"/>
    <w:rsid w:val="00EC351B"/>
    <w:rsid w:val="00EC4207"/>
    <w:rsid w:val="00EC4324"/>
    <w:rsid w:val="00EC4D58"/>
    <w:rsid w:val="00EC4D79"/>
    <w:rsid w:val="00EC500D"/>
    <w:rsid w:val="00EC515B"/>
    <w:rsid w:val="00EC5283"/>
    <w:rsid w:val="00EC5653"/>
    <w:rsid w:val="00EC608A"/>
    <w:rsid w:val="00EC62E6"/>
    <w:rsid w:val="00EC63C8"/>
    <w:rsid w:val="00EC69F8"/>
    <w:rsid w:val="00EC71CE"/>
    <w:rsid w:val="00EC7346"/>
    <w:rsid w:val="00EC73FC"/>
    <w:rsid w:val="00EC7ECC"/>
    <w:rsid w:val="00ED0BFE"/>
    <w:rsid w:val="00ED0CE9"/>
    <w:rsid w:val="00ED1006"/>
    <w:rsid w:val="00ED15B9"/>
    <w:rsid w:val="00ED1720"/>
    <w:rsid w:val="00ED1EFA"/>
    <w:rsid w:val="00ED28FE"/>
    <w:rsid w:val="00ED4505"/>
    <w:rsid w:val="00ED4A51"/>
    <w:rsid w:val="00ED5155"/>
    <w:rsid w:val="00ED5ADA"/>
    <w:rsid w:val="00ED6412"/>
    <w:rsid w:val="00ED692D"/>
    <w:rsid w:val="00ED6CBE"/>
    <w:rsid w:val="00ED6D45"/>
    <w:rsid w:val="00ED6FFA"/>
    <w:rsid w:val="00EE0DD9"/>
    <w:rsid w:val="00EE1635"/>
    <w:rsid w:val="00EE1716"/>
    <w:rsid w:val="00EE1744"/>
    <w:rsid w:val="00EE177D"/>
    <w:rsid w:val="00EE2ECD"/>
    <w:rsid w:val="00EE31F3"/>
    <w:rsid w:val="00EE46B5"/>
    <w:rsid w:val="00EE5044"/>
    <w:rsid w:val="00EE5443"/>
    <w:rsid w:val="00EE6403"/>
    <w:rsid w:val="00EE67F9"/>
    <w:rsid w:val="00EE6BAC"/>
    <w:rsid w:val="00EE73EB"/>
    <w:rsid w:val="00EE776F"/>
    <w:rsid w:val="00EE77D6"/>
    <w:rsid w:val="00EE77F7"/>
    <w:rsid w:val="00EF0916"/>
    <w:rsid w:val="00EF0D71"/>
    <w:rsid w:val="00EF1087"/>
    <w:rsid w:val="00EF18FE"/>
    <w:rsid w:val="00EF1FD1"/>
    <w:rsid w:val="00EF2514"/>
    <w:rsid w:val="00EF28A8"/>
    <w:rsid w:val="00EF2C08"/>
    <w:rsid w:val="00EF349C"/>
    <w:rsid w:val="00EF3E6B"/>
    <w:rsid w:val="00EF5026"/>
    <w:rsid w:val="00EF5050"/>
    <w:rsid w:val="00EF5787"/>
    <w:rsid w:val="00EF5998"/>
    <w:rsid w:val="00EF5B66"/>
    <w:rsid w:val="00EF60D0"/>
    <w:rsid w:val="00EF7270"/>
    <w:rsid w:val="00EF776E"/>
    <w:rsid w:val="00EF780D"/>
    <w:rsid w:val="00EF7925"/>
    <w:rsid w:val="00F007B9"/>
    <w:rsid w:val="00F00921"/>
    <w:rsid w:val="00F0112B"/>
    <w:rsid w:val="00F0253B"/>
    <w:rsid w:val="00F03AD4"/>
    <w:rsid w:val="00F0409C"/>
    <w:rsid w:val="00F040EE"/>
    <w:rsid w:val="00F04424"/>
    <w:rsid w:val="00F0528D"/>
    <w:rsid w:val="00F0624D"/>
    <w:rsid w:val="00F06C67"/>
    <w:rsid w:val="00F06DFD"/>
    <w:rsid w:val="00F06EBE"/>
    <w:rsid w:val="00F071D1"/>
    <w:rsid w:val="00F07533"/>
    <w:rsid w:val="00F075A8"/>
    <w:rsid w:val="00F076EE"/>
    <w:rsid w:val="00F07C7C"/>
    <w:rsid w:val="00F10629"/>
    <w:rsid w:val="00F116AE"/>
    <w:rsid w:val="00F121A5"/>
    <w:rsid w:val="00F127C5"/>
    <w:rsid w:val="00F12972"/>
    <w:rsid w:val="00F130DB"/>
    <w:rsid w:val="00F13280"/>
    <w:rsid w:val="00F13290"/>
    <w:rsid w:val="00F1397C"/>
    <w:rsid w:val="00F15C58"/>
    <w:rsid w:val="00F15FA5"/>
    <w:rsid w:val="00F16467"/>
    <w:rsid w:val="00F17161"/>
    <w:rsid w:val="00F2001A"/>
    <w:rsid w:val="00F204DF"/>
    <w:rsid w:val="00F209B7"/>
    <w:rsid w:val="00F20CA2"/>
    <w:rsid w:val="00F2131E"/>
    <w:rsid w:val="00F215AB"/>
    <w:rsid w:val="00F221B2"/>
    <w:rsid w:val="00F2223E"/>
    <w:rsid w:val="00F22E65"/>
    <w:rsid w:val="00F23503"/>
    <w:rsid w:val="00F2376F"/>
    <w:rsid w:val="00F2422E"/>
    <w:rsid w:val="00F2425F"/>
    <w:rsid w:val="00F243D8"/>
    <w:rsid w:val="00F2450B"/>
    <w:rsid w:val="00F2455D"/>
    <w:rsid w:val="00F25316"/>
    <w:rsid w:val="00F2603F"/>
    <w:rsid w:val="00F26162"/>
    <w:rsid w:val="00F261E7"/>
    <w:rsid w:val="00F2669F"/>
    <w:rsid w:val="00F27BA4"/>
    <w:rsid w:val="00F3069B"/>
    <w:rsid w:val="00F30828"/>
    <w:rsid w:val="00F3136D"/>
    <w:rsid w:val="00F313D6"/>
    <w:rsid w:val="00F31AE3"/>
    <w:rsid w:val="00F323EF"/>
    <w:rsid w:val="00F325F9"/>
    <w:rsid w:val="00F339EF"/>
    <w:rsid w:val="00F34480"/>
    <w:rsid w:val="00F3449F"/>
    <w:rsid w:val="00F34D45"/>
    <w:rsid w:val="00F36719"/>
    <w:rsid w:val="00F371F2"/>
    <w:rsid w:val="00F40163"/>
    <w:rsid w:val="00F407E8"/>
    <w:rsid w:val="00F40A4F"/>
    <w:rsid w:val="00F40B93"/>
    <w:rsid w:val="00F40F0C"/>
    <w:rsid w:val="00F4128E"/>
    <w:rsid w:val="00F42494"/>
    <w:rsid w:val="00F42F09"/>
    <w:rsid w:val="00F43177"/>
    <w:rsid w:val="00F447F1"/>
    <w:rsid w:val="00F44867"/>
    <w:rsid w:val="00F44F02"/>
    <w:rsid w:val="00F450FA"/>
    <w:rsid w:val="00F45A7A"/>
    <w:rsid w:val="00F46D18"/>
    <w:rsid w:val="00F47517"/>
    <w:rsid w:val="00F47543"/>
    <w:rsid w:val="00F4766C"/>
    <w:rsid w:val="00F478F2"/>
    <w:rsid w:val="00F47B1A"/>
    <w:rsid w:val="00F47B41"/>
    <w:rsid w:val="00F502E8"/>
    <w:rsid w:val="00F5030F"/>
    <w:rsid w:val="00F5060E"/>
    <w:rsid w:val="00F507D1"/>
    <w:rsid w:val="00F50A73"/>
    <w:rsid w:val="00F50DF0"/>
    <w:rsid w:val="00F50F54"/>
    <w:rsid w:val="00F519CE"/>
    <w:rsid w:val="00F51ADA"/>
    <w:rsid w:val="00F52F60"/>
    <w:rsid w:val="00F53289"/>
    <w:rsid w:val="00F536EA"/>
    <w:rsid w:val="00F538ED"/>
    <w:rsid w:val="00F5395B"/>
    <w:rsid w:val="00F53CB2"/>
    <w:rsid w:val="00F541A4"/>
    <w:rsid w:val="00F54EC8"/>
    <w:rsid w:val="00F552DD"/>
    <w:rsid w:val="00F556D7"/>
    <w:rsid w:val="00F55F26"/>
    <w:rsid w:val="00F60203"/>
    <w:rsid w:val="00F6031F"/>
    <w:rsid w:val="00F607C5"/>
    <w:rsid w:val="00F60DEA"/>
    <w:rsid w:val="00F6151A"/>
    <w:rsid w:val="00F6173D"/>
    <w:rsid w:val="00F62586"/>
    <w:rsid w:val="00F626BD"/>
    <w:rsid w:val="00F6274B"/>
    <w:rsid w:val="00F62EA7"/>
    <w:rsid w:val="00F6302A"/>
    <w:rsid w:val="00F637BE"/>
    <w:rsid w:val="00F63950"/>
    <w:rsid w:val="00F63B6E"/>
    <w:rsid w:val="00F63C25"/>
    <w:rsid w:val="00F64176"/>
    <w:rsid w:val="00F64C01"/>
    <w:rsid w:val="00F64C2B"/>
    <w:rsid w:val="00F64C67"/>
    <w:rsid w:val="00F64DE6"/>
    <w:rsid w:val="00F64FD1"/>
    <w:rsid w:val="00F651BE"/>
    <w:rsid w:val="00F6675D"/>
    <w:rsid w:val="00F667A0"/>
    <w:rsid w:val="00F66D84"/>
    <w:rsid w:val="00F6777C"/>
    <w:rsid w:val="00F67856"/>
    <w:rsid w:val="00F6792E"/>
    <w:rsid w:val="00F67F53"/>
    <w:rsid w:val="00F702BE"/>
    <w:rsid w:val="00F703BE"/>
    <w:rsid w:val="00F70CDB"/>
    <w:rsid w:val="00F71330"/>
    <w:rsid w:val="00F71995"/>
    <w:rsid w:val="00F71ACA"/>
    <w:rsid w:val="00F71C8F"/>
    <w:rsid w:val="00F71F69"/>
    <w:rsid w:val="00F72B72"/>
    <w:rsid w:val="00F72BC9"/>
    <w:rsid w:val="00F73928"/>
    <w:rsid w:val="00F74BB9"/>
    <w:rsid w:val="00F74D59"/>
    <w:rsid w:val="00F75582"/>
    <w:rsid w:val="00F7572E"/>
    <w:rsid w:val="00F75939"/>
    <w:rsid w:val="00F75B4B"/>
    <w:rsid w:val="00F75C57"/>
    <w:rsid w:val="00F75FE1"/>
    <w:rsid w:val="00F768E9"/>
    <w:rsid w:val="00F76EFA"/>
    <w:rsid w:val="00F774E0"/>
    <w:rsid w:val="00F778CD"/>
    <w:rsid w:val="00F80126"/>
    <w:rsid w:val="00F804BE"/>
    <w:rsid w:val="00F8072D"/>
    <w:rsid w:val="00F80EC9"/>
    <w:rsid w:val="00F817CE"/>
    <w:rsid w:val="00F8269F"/>
    <w:rsid w:val="00F826C6"/>
    <w:rsid w:val="00F82C54"/>
    <w:rsid w:val="00F83015"/>
    <w:rsid w:val="00F8323C"/>
    <w:rsid w:val="00F840D5"/>
    <w:rsid w:val="00F84131"/>
    <w:rsid w:val="00F84242"/>
    <w:rsid w:val="00F8451E"/>
    <w:rsid w:val="00F8456C"/>
    <w:rsid w:val="00F8492F"/>
    <w:rsid w:val="00F84BFC"/>
    <w:rsid w:val="00F8563A"/>
    <w:rsid w:val="00F8576D"/>
    <w:rsid w:val="00F859D8"/>
    <w:rsid w:val="00F8651A"/>
    <w:rsid w:val="00F86651"/>
    <w:rsid w:val="00F868F5"/>
    <w:rsid w:val="00F87B55"/>
    <w:rsid w:val="00F900F8"/>
    <w:rsid w:val="00F9056A"/>
    <w:rsid w:val="00F90F8D"/>
    <w:rsid w:val="00F91746"/>
    <w:rsid w:val="00F917C9"/>
    <w:rsid w:val="00F91CFE"/>
    <w:rsid w:val="00F9221F"/>
    <w:rsid w:val="00F92782"/>
    <w:rsid w:val="00F929CC"/>
    <w:rsid w:val="00F92F0B"/>
    <w:rsid w:val="00F93AA9"/>
    <w:rsid w:val="00F93E3D"/>
    <w:rsid w:val="00F93ECF"/>
    <w:rsid w:val="00F94542"/>
    <w:rsid w:val="00F94621"/>
    <w:rsid w:val="00F95738"/>
    <w:rsid w:val="00F9613A"/>
    <w:rsid w:val="00F9664F"/>
    <w:rsid w:val="00F96985"/>
    <w:rsid w:val="00F96EB0"/>
    <w:rsid w:val="00F97102"/>
    <w:rsid w:val="00F97838"/>
    <w:rsid w:val="00FA01AB"/>
    <w:rsid w:val="00FA184A"/>
    <w:rsid w:val="00FA1CBC"/>
    <w:rsid w:val="00FA22A5"/>
    <w:rsid w:val="00FA2A9F"/>
    <w:rsid w:val="00FA2BB3"/>
    <w:rsid w:val="00FA2CE5"/>
    <w:rsid w:val="00FA3F21"/>
    <w:rsid w:val="00FA4102"/>
    <w:rsid w:val="00FA4507"/>
    <w:rsid w:val="00FA4989"/>
    <w:rsid w:val="00FA4D55"/>
    <w:rsid w:val="00FA55A3"/>
    <w:rsid w:val="00FA5807"/>
    <w:rsid w:val="00FA59E2"/>
    <w:rsid w:val="00FA6062"/>
    <w:rsid w:val="00FA66F6"/>
    <w:rsid w:val="00FA6D88"/>
    <w:rsid w:val="00FA71D2"/>
    <w:rsid w:val="00FB0091"/>
    <w:rsid w:val="00FB0701"/>
    <w:rsid w:val="00FB084A"/>
    <w:rsid w:val="00FB13CE"/>
    <w:rsid w:val="00FB1533"/>
    <w:rsid w:val="00FB15B0"/>
    <w:rsid w:val="00FB1644"/>
    <w:rsid w:val="00FB29F3"/>
    <w:rsid w:val="00FB2F04"/>
    <w:rsid w:val="00FB33CF"/>
    <w:rsid w:val="00FB46FB"/>
    <w:rsid w:val="00FB4C80"/>
    <w:rsid w:val="00FB4CBA"/>
    <w:rsid w:val="00FB4D8F"/>
    <w:rsid w:val="00FB5152"/>
    <w:rsid w:val="00FB545B"/>
    <w:rsid w:val="00FB56DF"/>
    <w:rsid w:val="00FB5BD5"/>
    <w:rsid w:val="00FB5F53"/>
    <w:rsid w:val="00FB6A6A"/>
    <w:rsid w:val="00FB6F52"/>
    <w:rsid w:val="00FB778F"/>
    <w:rsid w:val="00FB7F8F"/>
    <w:rsid w:val="00FC0E82"/>
    <w:rsid w:val="00FC1E6E"/>
    <w:rsid w:val="00FC2555"/>
    <w:rsid w:val="00FC2572"/>
    <w:rsid w:val="00FC2906"/>
    <w:rsid w:val="00FC2FCA"/>
    <w:rsid w:val="00FC384F"/>
    <w:rsid w:val="00FC4996"/>
    <w:rsid w:val="00FC4D4C"/>
    <w:rsid w:val="00FC546F"/>
    <w:rsid w:val="00FC58BB"/>
    <w:rsid w:val="00FC5A2C"/>
    <w:rsid w:val="00FC6139"/>
    <w:rsid w:val="00FC6328"/>
    <w:rsid w:val="00FC6860"/>
    <w:rsid w:val="00FC6A4A"/>
    <w:rsid w:val="00FC7143"/>
    <w:rsid w:val="00FC7429"/>
    <w:rsid w:val="00FC74D6"/>
    <w:rsid w:val="00FC76D7"/>
    <w:rsid w:val="00FC7779"/>
    <w:rsid w:val="00FC7AC4"/>
    <w:rsid w:val="00FD07F6"/>
    <w:rsid w:val="00FD0841"/>
    <w:rsid w:val="00FD098D"/>
    <w:rsid w:val="00FD0DDA"/>
    <w:rsid w:val="00FD1EC8"/>
    <w:rsid w:val="00FD2C37"/>
    <w:rsid w:val="00FD2DE5"/>
    <w:rsid w:val="00FD3D75"/>
    <w:rsid w:val="00FD47ED"/>
    <w:rsid w:val="00FD4B6C"/>
    <w:rsid w:val="00FD4DC4"/>
    <w:rsid w:val="00FD530B"/>
    <w:rsid w:val="00FD5488"/>
    <w:rsid w:val="00FD5780"/>
    <w:rsid w:val="00FD5E68"/>
    <w:rsid w:val="00FD7498"/>
    <w:rsid w:val="00FD74DB"/>
    <w:rsid w:val="00FD7660"/>
    <w:rsid w:val="00FD7C99"/>
    <w:rsid w:val="00FE0655"/>
    <w:rsid w:val="00FE0C44"/>
    <w:rsid w:val="00FE0F3A"/>
    <w:rsid w:val="00FE1E56"/>
    <w:rsid w:val="00FE20DE"/>
    <w:rsid w:val="00FE21AA"/>
    <w:rsid w:val="00FE2365"/>
    <w:rsid w:val="00FE2B6E"/>
    <w:rsid w:val="00FE2BFE"/>
    <w:rsid w:val="00FE3131"/>
    <w:rsid w:val="00FE3492"/>
    <w:rsid w:val="00FE37D7"/>
    <w:rsid w:val="00FE4C7B"/>
    <w:rsid w:val="00FE4F2F"/>
    <w:rsid w:val="00FE4F5E"/>
    <w:rsid w:val="00FE5DCE"/>
    <w:rsid w:val="00FE5F87"/>
    <w:rsid w:val="00FE64B0"/>
    <w:rsid w:val="00FE6E5C"/>
    <w:rsid w:val="00FE6F9E"/>
    <w:rsid w:val="00FE7278"/>
    <w:rsid w:val="00FE7336"/>
    <w:rsid w:val="00FE77C1"/>
    <w:rsid w:val="00FE787C"/>
    <w:rsid w:val="00FE7E4F"/>
    <w:rsid w:val="00FF0093"/>
    <w:rsid w:val="00FF0188"/>
    <w:rsid w:val="00FF02F8"/>
    <w:rsid w:val="00FF219B"/>
    <w:rsid w:val="00FF239F"/>
    <w:rsid w:val="00FF2409"/>
    <w:rsid w:val="00FF24C3"/>
    <w:rsid w:val="00FF295C"/>
    <w:rsid w:val="00FF45A5"/>
    <w:rsid w:val="00FF4831"/>
    <w:rsid w:val="00FF4A5A"/>
    <w:rsid w:val="00FF5C91"/>
    <w:rsid w:val="00FF7338"/>
    <w:rsid w:val="00FF77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E26FC"/>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numPr>
        <w:numId w:val="23"/>
      </w:numPr>
      <w:spacing w:before="180"/>
    </w:pPr>
    <w:rPr>
      <w:b/>
    </w:rPr>
  </w:style>
  <w:style w:type="paragraph" w:styleId="TOC1">
    <w:name w:val="toc 1"/>
    <w:uiPriority w:val="39"/>
    <w:rsid w:val="00E1134C"/>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5F4284"/>
    <w:pPr>
      <w:ind w:left="0" w:firstLine="0"/>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9E48F5"/>
    <w:rPr>
      <w:rFonts w:ascii="Arial" w:eastAsia="Times New Roman" w:hAnsi="Arial" w:cs="Times New Roman"/>
      <w:szCs w:val="20"/>
    </w:rPr>
  </w:style>
  <w:style w:type="paragraph" w:customStyle="1" w:styleId="StyleListParagraph-BulletsLista11">
    <w:name w:val="Style List Paragraph- Bullets목록 단락リスト段落Lista1?? ???????????...1"/>
    <w:basedOn w:val="ListParagraph"/>
    <w:rsid w:val="001718B7"/>
    <w:rPr>
      <w:rFonts w:ascii="Arial" w:eastAsia="Times New Roman" w:hAnsi="Arial" w:cs="Times New Roman"/>
      <w:sz w:val="20"/>
      <w:szCs w:val="20"/>
    </w:rPr>
  </w:style>
  <w:style w:type="character" w:customStyle="1" w:styleId="B1Zchn">
    <w:name w:val="B1 Zchn"/>
    <w:qFormat/>
    <w:rsid w:val="00F71C8F"/>
    <w:rPr>
      <w:lang w:val="x-none" w:eastAsia="en-US"/>
    </w:rPr>
  </w:style>
  <w:style w:type="paragraph" w:customStyle="1" w:styleId="StyleListParagraph-BulletsLista12">
    <w:name w:val="Style List Paragraph- Bullets목록 단락リスト段落Lista1?? ???????????...2"/>
    <w:basedOn w:val="ListParagraph"/>
    <w:rsid w:val="00DB0177"/>
    <w:pPr>
      <w:spacing w:after="120"/>
      <w:contextualSpacing/>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0166">
      <w:bodyDiv w:val="1"/>
      <w:marLeft w:val="0"/>
      <w:marRight w:val="0"/>
      <w:marTop w:val="0"/>
      <w:marBottom w:val="0"/>
      <w:divBdr>
        <w:top w:val="none" w:sz="0" w:space="0" w:color="auto"/>
        <w:left w:val="none" w:sz="0" w:space="0" w:color="auto"/>
        <w:bottom w:val="none" w:sz="0" w:space="0" w:color="auto"/>
        <w:right w:val="none" w:sz="0" w:space="0" w:color="auto"/>
      </w:divBdr>
      <w:divsChild>
        <w:div w:id="13658971">
          <w:marLeft w:val="2261"/>
          <w:marRight w:val="0"/>
          <w:marTop w:val="60"/>
          <w:marBottom w:val="0"/>
          <w:divBdr>
            <w:top w:val="none" w:sz="0" w:space="0" w:color="auto"/>
            <w:left w:val="none" w:sz="0" w:space="0" w:color="auto"/>
            <w:bottom w:val="none" w:sz="0" w:space="0" w:color="auto"/>
            <w:right w:val="none" w:sz="0" w:space="0" w:color="auto"/>
          </w:divBdr>
        </w:div>
        <w:div w:id="66266513">
          <w:marLeft w:val="1123"/>
          <w:marRight w:val="0"/>
          <w:marTop w:val="60"/>
          <w:marBottom w:val="0"/>
          <w:divBdr>
            <w:top w:val="none" w:sz="0" w:space="0" w:color="auto"/>
            <w:left w:val="none" w:sz="0" w:space="0" w:color="auto"/>
            <w:bottom w:val="none" w:sz="0" w:space="0" w:color="auto"/>
            <w:right w:val="none" w:sz="0" w:space="0" w:color="auto"/>
          </w:divBdr>
        </w:div>
        <w:div w:id="350108413">
          <w:marLeft w:val="1123"/>
          <w:marRight w:val="0"/>
          <w:marTop w:val="60"/>
          <w:marBottom w:val="0"/>
          <w:divBdr>
            <w:top w:val="none" w:sz="0" w:space="0" w:color="auto"/>
            <w:left w:val="none" w:sz="0" w:space="0" w:color="auto"/>
            <w:bottom w:val="none" w:sz="0" w:space="0" w:color="auto"/>
            <w:right w:val="none" w:sz="0" w:space="0" w:color="auto"/>
          </w:divBdr>
        </w:div>
        <w:div w:id="445317308">
          <w:marLeft w:val="547"/>
          <w:marRight w:val="0"/>
          <w:marTop w:val="60"/>
          <w:marBottom w:val="0"/>
          <w:divBdr>
            <w:top w:val="none" w:sz="0" w:space="0" w:color="auto"/>
            <w:left w:val="none" w:sz="0" w:space="0" w:color="auto"/>
            <w:bottom w:val="none" w:sz="0" w:space="0" w:color="auto"/>
            <w:right w:val="none" w:sz="0" w:space="0" w:color="auto"/>
          </w:divBdr>
        </w:div>
        <w:div w:id="565847642">
          <w:marLeft w:val="1123"/>
          <w:marRight w:val="0"/>
          <w:marTop w:val="60"/>
          <w:marBottom w:val="0"/>
          <w:divBdr>
            <w:top w:val="none" w:sz="0" w:space="0" w:color="auto"/>
            <w:left w:val="none" w:sz="0" w:space="0" w:color="auto"/>
            <w:bottom w:val="none" w:sz="0" w:space="0" w:color="auto"/>
            <w:right w:val="none" w:sz="0" w:space="0" w:color="auto"/>
          </w:divBdr>
        </w:div>
        <w:div w:id="815295716">
          <w:marLeft w:val="1123"/>
          <w:marRight w:val="0"/>
          <w:marTop w:val="60"/>
          <w:marBottom w:val="0"/>
          <w:divBdr>
            <w:top w:val="none" w:sz="0" w:space="0" w:color="auto"/>
            <w:left w:val="none" w:sz="0" w:space="0" w:color="auto"/>
            <w:bottom w:val="none" w:sz="0" w:space="0" w:color="auto"/>
            <w:right w:val="none" w:sz="0" w:space="0" w:color="auto"/>
          </w:divBdr>
        </w:div>
        <w:div w:id="820734887">
          <w:marLeft w:val="1123"/>
          <w:marRight w:val="0"/>
          <w:marTop w:val="60"/>
          <w:marBottom w:val="0"/>
          <w:divBdr>
            <w:top w:val="none" w:sz="0" w:space="0" w:color="auto"/>
            <w:left w:val="none" w:sz="0" w:space="0" w:color="auto"/>
            <w:bottom w:val="none" w:sz="0" w:space="0" w:color="auto"/>
            <w:right w:val="none" w:sz="0" w:space="0" w:color="auto"/>
          </w:divBdr>
        </w:div>
        <w:div w:id="825361754">
          <w:marLeft w:val="1699"/>
          <w:marRight w:val="0"/>
          <w:marTop w:val="60"/>
          <w:marBottom w:val="0"/>
          <w:divBdr>
            <w:top w:val="none" w:sz="0" w:space="0" w:color="auto"/>
            <w:left w:val="none" w:sz="0" w:space="0" w:color="auto"/>
            <w:bottom w:val="none" w:sz="0" w:space="0" w:color="auto"/>
            <w:right w:val="none" w:sz="0" w:space="0" w:color="auto"/>
          </w:divBdr>
        </w:div>
        <w:div w:id="892933101">
          <w:marLeft w:val="1123"/>
          <w:marRight w:val="0"/>
          <w:marTop w:val="60"/>
          <w:marBottom w:val="0"/>
          <w:divBdr>
            <w:top w:val="none" w:sz="0" w:space="0" w:color="auto"/>
            <w:left w:val="none" w:sz="0" w:space="0" w:color="auto"/>
            <w:bottom w:val="none" w:sz="0" w:space="0" w:color="auto"/>
            <w:right w:val="none" w:sz="0" w:space="0" w:color="auto"/>
          </w:divBdr>
        </w:div>
        <w:div w:id="922376065">
          <w:marLeft w:val="1123"/>
          <w:marRight w:val="0"/>
          <w:marTop w:val="60"/>
          <w:marBottom w:val="0"/>
          <w:divBdr>
            <w:top w:val="none" w:sz="0" w:space="0" w:color="auto"/>
            <w:left w:val="none" w:sz="0" w:space="0" w:color="auto"/>
            <w:bottom w:val="none" w:sz="0" w:space="0" w:color="auto"/>
            <w:right w:val="none" w:sz="0" w:space="0" w:color="auto"/>
          </w:divBdr>
        </w:div>
        <w:div w:id="1099377704">
          <w:marLeft w:val="2261"/>
          <w:marRight w:val="0"/>
          <w:marTop w:val="60"/>
          <w:marBottom w:val="0"/>
          <w:divBdr>
            <w:top w:val="none" w:sz="0" w:space="0" w:color="auto"/>
            <w:left w:val="none" w:sz="0" w:space="0" w:color="auto"/>
            <w:bottom w:val="none" w:sz="0" w:space="0" w:color="auto"/>
            <w:right w:val="none" w:sz="0" w:space="0" w:color="auto"/>
          </w:divBdr>
        </w:div>
        <w:div w:id="1307513910">
          <w:marLeft w:val="547"/>
          <w:marRight w:val="0"/>
          <w:marTop w:val="60"/>
          <w:marBottom w:val="0"/>
          <w:divBdr>
            <w:top w:val="none" w:sz="0" w:space="0" w:color="auto"/>
            <w:left w:val="none" w:sz="0" w:space="0" w:color="auto"/>
            <w:bottom w:val="none" w:sz="0" w:space="0" w:color="auto"/>
            <w:right w:val="none" w:sz="0" w:space="0" w:color="auto"/>
          </w:divBdr>
        </w:div>
        <w:div w:id="1496187757">
          <w:marLeft w:val="547"/>
          <w:marRight w:val="0"/>
          <w:marTop w:val="60"/>
          <w:marBottom w:val="0"/>
          <w:divBdr>
            <w:top w:val="none" w:sz="0" w:space="0" w:color="auto"/>
            <w:left w:val="none" w:sz="0" w:space="0" w:color="auto"/>
            <w:bottom w:val="none" w:sz="0" w:space="0" w:color="auto"/>
            <w:right w:val="none" w:sz="0" w:space="0" w:color="auto"/>
          </w:divBdr>
        </w:div>
        <w:div w:id="1563904185">
          <w:marLeft w:val="1123"/>
          <w:marRight w:val="0"/>
          <w:marTop w:val="60"/>
          <w:marBottom w:val="0"/>
          <w:divBdr>
            <w:top w:val="none" w:sz="0" w:space="0" w:color="auto"/>
            <w:left w:val="none" w:sz="0" w:space="0" w:color="auto"/>
            <w:bottom w:val="none" w:sz="0" w:space="0" w:color="auto"/>
            <w:right w:val="none" w:sz="0" w:space="0" w:color="auto"/>
          </w:divBdr>
        </w:div>
        <w:div w:id="1688365363">
          <w:marLeft w:val="1123"/>
          <w:marRight w:val="0"/>
          <w:marTop w:val="60"/>
          <w:marBottom w:val="0"/>
          <w:divBdr>
            <w:top w:val="none" w:sz="0" w:space="0" w:color="auto"/>
            <w:left w:val="none" w:sz="0" w:space="0" w:color="auto"/>
            <w:bottom w:val="none" w:sz="0" w:space="0" w:color="auto"/>
            <w:right w:val="none" w:sz="0" w:space="0" w:color="auto"/>
          </w:divBdr>
        </w:div>
        <w:div w:id="2009752949">
          <w:marLeft w:val="1123"/>
          <w:marRight w:val="0"/>
          <w:marTop w:val="60"/>
          <w:marBottom w:val="0"/>
          <w:divBdr>
            <w:top w:val="none" w:sz="0" w:space="0" w:color="auto"/>
            <w:left w:val="none" w:sz="0" w:space="0" w:color="auto"/>
            <w:bottom w:val="none" w:sz="0" w:space="0" w:color="auto"/>
            <w:right w:val="none" w:sz="0" w:space="0" w:color="auto"/>
          </w:divBdr>
        </w:div>
        <w:div w:id="2046707569">
          <w:marLeft w:val="1123"/>
          <w:marRight w:val="0"/>
          <w:marTop w:val="60"/>
          <w:marBottom w:val="0"/>
          <w:divBdr>
            <w:top w:val="none" w:sz="0" w:space="0" w:color="auto"/>
            <w:left w:val="none" w:sz="0" w:space="0" w:color="auto"/>
            <w:bottom w:val="none" w:sz="0" w:space="0" w:color="auto"/>
            <w:right w:val="none" w:sz="0" w:space="0" w:color="auto"/>
          </w:divBdr>
        </w:div>
        <w:div w:id="2128429113">
          <w:marLeft w:val="547"/>
          <w:marRight w:val="0"/>
          <w:marTop w:val="60"/>
          <w:marBottom w:val="0"/>
          <w:divBdr>
            <w:top w:val="none" w:sz="0" w:space="0" w:color="auto"/>
            <w:left w:val="none" w:sz="0" w:space="0" w:color="auto"/>
            <w:bottom w:val="none" w:sz="0" w:space="0" w:color="auto"/>
            <w:right w:val="none" w:sz="0" w:space="0" w:color="auto"/>
          </w:divBdr>
        </w:div>
      </w:divsChild>
    </w:div>
    <w:div w:id="295187726">
      <w:bodyDiv w:val="1"/>
      <w:marLeft w:val="0"/>
      <w:marRight w:val="0"/>
      <w:marTop w:val="0"/>
      <w:marBottom w:val="0"/>
      <w:divBdr>
        <w:top w:val="none" w:sz="0" w:space="0" w:color="auto"/>
        <w:left w:val="none" w:sz="0" w:space="0" w:color="auto"/>
        <w:bottom w:val="none" w:sz="0" w:space="0" w:color="auto"/>
        <w:right w:val="none" w:sz="0" w:space="0" w:color="auto"/>
      </w:divBdr>
    </w:div>
    <w:div w:id="302783537">
      <w:bodyDiv w:val="1"/>
      <w:marLeft w:val="0"/>
      <w:marRight w:val="0"/>
      <w:marTop w:val="0"/>
      <w:marBottom w:val="0"/>
      <w:divBdr>
        <w:top w:val="none" w:sz="0" w:space="0" w:color="auto"/>
        <w:left w:val="none" w:sz="0" w:space="0" w:color="auto"/>
        <w:bottom w:val="none" w:sz="0" w:space="0" w:color="auto"/>
        <w:right w:val="none" w:sz="0" w:space="0" w:color="auto"/>
      </w:divBdr>
      <w:divsChild>
        <w:div w:id="303314049">
          <w:marLeft w:val="1699"/>
          <w:marRight w:val="0"/>
          <w:marTop w:val="60"/>
          <w:marBottom w:val="0"/>
          <w:divBdr>
            <w:top w:val="none" w:sz="0" w:space="0" w:color="auto"/>
            <w:left w:val="none" w:sz="0" w:space="0" w:color="auto"/>
            <w:bottom w:val="none" w:sz="0" w:space="0" w:color="auto"/>
            <w:right w:val="none" w:sz="0" w:space="0" w:color="auto"/>
          </w:divBdr>
        </w:div>
        <w:div w:id="446782431">
          <w:marLeft w:val="1123"/>
          <w:marRight w:val="0"/>
          <w:marTop w:val="60"/>
          <w:marBottom w:val="0"/>
          <w:divBdr>
            <w:top w:val="none" w:sz="0" w:space="0" w:color="auto"/>
            <w:left w:val="none" w:sz="0" w:space="0" w:color="auto"/>
            <w:bottom w:val="none" w:sz="0" w:space="0" w:color="auto"/>
            <w:right w:val="none" w:sz="0" w:space="0" w:color="auto"/>
          </w:divBdr>
        </w:div>
        <w:div w:id="457919407">
          <w:marLeft w:val="2794"/>
          <w:marRight w:val="0"/>
          <w:marTop w:val="60"/>
          <w:marBottom w:val="0"/>
          <w:divBdr>
            <w:top w:val="none" w:sz="0" w:space="0" w:color="auto"/>
            <w:left w:val="none" w:sz="0" w:space="0" w:color="auto"/>
            <w:bottom w:val="none" w:sz="0" w:space="0" w:color="auto"/>
            <w:right w:val="none" w:sz="0" w:space="0" w:color="auto"/>
          </w:divBdr>
        </w:div>
        <w:div w:id="554660066">
          <w:marLeft w:val="1123"/>
          <w:marRight w:val="0"/>
          <w:marTop w:val="60"/>
          <w:marBottom w:val="0"/>
          <w:divBdr>
            <w:top w:val="none" w:sz="0" w:space="0" w:color="auto"/>
            <w:left w:val="none" w:sz="0" w:space="0" w:color="auto"/>
            <w:bottom w:val="none" w:sz="0" w:space="0" w:color="auto"/>
            <w:right w:val="none" w:sz="0" w:space="0" w:color="auto"/>
          </w:divBdr>
        </w:div>
        <w:div w:id="643317077">
          <w:marLeft w:val="2794"/>
          <w:marRight w:val="0"/>
          <w:marTop w:val="60"/>
          <w:marBottom w:val="0"/>
          <w:divBdr>
            <w:top w:val="none" w:sz="0" w:space="0" w:color="auto"/>
            <w:left w:val="none" w:sz="0" w:space="0" w:color="auto"/>
            <w:bottom w:val="none" w:sz="0" w:space="0" w:color="auto"/>
            <w:right w:val="none" w:sz="0" w:space="0" w:color="auto"/>
          </w:divBdr>
        </w:div>
        <w:div w:id="902301793">
          <w:marLeft w:val="1699"/>
          <w:marRight w:val="0"/>
          <w:marTop w:val="60"/>
          <w:marBottom w:val="0"/>
          <w:divBdr>
            <w:top w:val="none" w:sz="0" w:space="0" w:color="auto"/>
            <w:left w:val="none" w:sz="0" w:space="0" w:color="auto"/>
            <w:bottom w:val="none" w:sz="0" w:space="0" w:color="auto"/>
            <w:right w:val="none" w:sz="0" w:space="0" w:color="auto"/>
          </w:divBdr>
        </w:div>
        <w:div w:id="1325816778">
          <w:marLeft w:val="2261"/>
          <w:marRight w:val="0"/>
          <w:marTop w:val="60"/>
          <w:marBottom w:val="0"/>
          <w:divBdr>
            <w:top w:val="none" w:sz="0" w:space="0" w:color="auto"/>
            <w:left w:val="none" w:sz="0" w:space="0" w:color="auto"/>
            <w:bottom w:val="none" w:sz="0" w:space="0" w:color="auto"/>
            <w:right w:val="none" w:sz="0" w:space="0" w:color="auto"/>
          </w:divBdr>
        </w:div>
        <w:div w:id="1523588773">
          <w:marLeft w:val="1699"/>
          <w:marRight w:val="0"/>
          <w:marTop w:val="60"/>
          <w:marBottom w:val="0"/>
          <w:divBdr>
            <w:top w:val="none" w:sz="0" w:space="0" w:color="auto"/>
            <w:left w:val="none" w:sz="0" w:space="0" w:color="auto"/>
            <w:bottom w:val="none" w:sz="0" w:space="0" w:color="auto"/>
            <w:right w:val="none" w:sz="0" w:space="0" w:color="auto"/>
          </w:divBdr>
        </w:div>
        <w:div w:id="1546794213">
          <w:marLeft w:val="1123"/>
          <w:marRight w:val="0"/>
          <w:marTop w:val="60"/>
          <w:marBottom w:val="0"/>
          <w:divBdr>
            <w:top w:val="none" w:sz="0" w:space="0" w:color="auto"/>
            <w:left w:val="none" w:sz="0" w:space="0" w:color="auto"/>
            <w:bottom w:val="none" w:sz="0" w:space="0" w:color="auto"/>
            <w:right w:val="none" w:sz="0" w:space="0" w:color="auto"/>
          </w:divBdr>
        </w:div>
        <w:div w:id="1592617511">
          <w:marLeft w:val="1123"/>
          <w:marRight w:val="0"/>
          <w:marTop w:val="60"/>
          <w:marBottom w:val="0"/>
          <w:divBdr>
            <w:top w:val="none" w:sz="0" w:space="0" w:color="auto"/>
            <w:left w:val="none" w:sz="0" w:space="0" w:color="auto"/>
            <w:bottom w:val="none" w:sz="0" w:space="0" w:color="auto"/>
            <w:right w:val="none" w:sz="0" w:space="0" w:color="auto"/>
          </w:divBdr>
        </w:div>
        <w:div w:id="1773864864">
          <w:marLeft w:val="1699"/>
          <w:marRight w:val="0"/>
          <w:marTop w:val="60"/>
          <w:marBottom w:val="0"/>
          <w:divBdr>
            <w:top w:val="none" w:sz="0" w:space="0" w:color="auto"/>
            <w:left w:val="none" w:sz="0" w:space="0" w:color="auto"/>
            <w:bottom w:val="none" w:sz="0" w:space="0" w:color="auto"/>
            <w:right w:val="none" w:sz="0" w:space="0" w:color="auto"/>
          </w:divBdr>
        </w:div>
        <w:div w:id="1774593024">
          <w:marLeft w:val="547"/>
          <w:marRight w:val="0"/>
          <w:marTop w:val="60"/>
          <w:marBottom w:val="0"/>
          <w:divBdr>
            <w:top w:val="none" w:sz="0" w:space="0" w:color="auto"/>
            <w:left w:val="none" w:sz="0" w:space="0" w:color="auto"/>
            <w:bottom w:val="none" w:sz="0" w:space="0" w:color="auto"/>
            <w:right w:val="none" w:sz="0" w:space="0" w:color="auto"/>
          </w:divBdr>
        </w:div>
      </w:divsChild>
    </w:div>
    <w:div w:id="752437047">
      <w:bodyDiv w:val="1"/>
      <w:marLeft w:val="0"/>
      <w:marRight w:val="0"/>
      <w:marTop w:val="0"/>
      <w:marBottom w:val="0"/>
      <w:divBdr>
        <w:top w:val="none" w:sz="0" w:space="0" w:color="auto"/>
        <w:left w:val="none" w:sz="0" w:space="0" w:color="auto"/>
        <w:bottom w:val="none" w:sz="0" w:space="0" w:color="auto"/>
        <w:right w:val="none" w:sz="0" w:space="0" w:color="auto"/>
      </w:divBdr>
    </w:div>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788666514">
      <w:bodyDiv w:val="1"/>
      <w:marLeft w:val="0"/>
      <w:marRight w:val="0"/>
      <w:marTop w:val="0"/>
      <w:marBottom w:val="0"/>
      <w:divBdr>
        <w:top w:val="none" w:sz="0" w:space="0" w:color="auto"/>
        <w:left w:val="none" w:sz="0" w:space="0" w:color="auto"/>
        <w:bottom w:val="none" w:sz="0" w:space="0" w:color="auto"/>
        <w:right w:val="none" w:sz="0" w:space="0" w:color="auto"/>
      </w:divBdr>
      <w:divsChild>
        <w:div w:id="15741957">
          <w:marLeft w:val="547"/>
          <w:marRight w:val="0"/>
          <w:marTop w:val="60"/>
          <w:marBottom w:val="0"/>
          <w:divBdr>
            <w:top w:val="none" w:sz="0" w:space="0" w:color="auto"/>
            <w:left w:val="none" w:sz="0" w:space="0" w:color="auto"/>
            <w:bottom w:val="none" w:sz="0" w:space="0" w:color="auto"/>
            <w:right w:val="none" w:sz="0" w:space="0" w:color="auto"/>
          </w:divBdr>
        </w:div>
        <w:div w:id="184750354">
          <w:marLeft w:val="1123"/>
          <w:marRight w:val="0"/>
          <w:marTop w:val="60"/>
          <w:marBottom w:val="0"/>
          <w:divBdr>
            <w:top w:val="none" w:sz="0" w:space="0" w:color="auto"/>
            <w:left w:val="none" w:sz="0" w:space="0" w:color="auto"/>
            <w:bottom w:val="none" w:sz="0" w:space="0" w:color="auto"/>
            <w:right w:val="none" w:sz="0" w:space="0" w:color="auto"/>
          </w:divBdr>
        </w:div>
        <w:div w:id="387924732">
          <w:marLeft w:val="1123"/>
          <w:marRight w:val="0"/>
          <w:marTop w:val="60"/>
          <w:marBottom w:val="0"/>
          <w:divBdr>
            <w:top w:val="none" w:sz="0" w:space="0" w:color="auto"/>
            <w:left w:val="none" w:sz="0" w:space="0" w:color="auto"/>
            <w:bottom w:val="none" w:sz="0" w:space="0" w:color="auto"/>
            <w:right w:val="none" w:sz="0" w:space="0" w:color="auto"/>
          </w:divBdr>
        </w:div>
        <w:div w:id="742995685">
          <w:marLeft w:val="1123"/>
          <w:marRight w:val="0"/>
          <w:marTop w:val="60"/>
          <w:marBottom w:val="0"/>
          <w:divBdr>
            <w:top w:val="none" w:sz="0" w:space="0" w:color="auto"/>
            <w:left w:val="none" w:sz="0" w:space="0" w:color="auto"/>
            <w:bottom w:val="none" w:sz="0" w:space="0" w:color="auto"/>
            <w:right w:val="none" w:sz="0" w:space="0" w:color="auto"/>
          </w:divBdr>
        </w:div>
        <w:div w:id="749426930">
          <w:marLeft w:val="1123"/>
          <w:marRight w:val="0"/>
          <w:marTop w:val="60"/>
          <w:marBottom w:val="0"/>
          <w:divBdr>
            <w:top w:val="none" w:sz="0" w:space="0" w:color="auto"/>
            <w:left w:val="none" w:sz="0" w:space="0" w:color="auto"/>
            <w:bottom w:val="none" w:sz="0" w:space="0" w:color="auto"/>
            <w:right w:val="none" w:sz="0" w:space="0" w:color="auto"/>
          </w:divBdr>
        </w:div>
        <w:div w:id="774641747">
          <w:marLeft w:val="2261"/>
          <w:marRight w:val="0"/>
          <w:marTop w:val="60"/>
          <w:marBottom w:val="0"/>
          <w:divBdr>
            <w:top w:val="none" w:sz="0" w:space="0" w:color="auto"/>
            <w:left w:val="none" w:sz="0" w:space="0" w:color="auto"/>
            <w:bottom w:val="none" w:sz="0" w:space="0" w:color="auto"/>
            <w:right w:val="none" w:sz="0" w:space="0" w:color="auto"/>
          </w:divBdr>
        </w:div>
        <w:div w:id="927616494">
          <w:marLeft w:val="1123"/>
          <w:marRight w:val="0"/>
          <w:marTop w:val="60"/>
          <w:marBottom w:val="0"/>
          <w:divBdr>
            <w:top w:val="none" w:sz="0" w:space="0" w:color="auto"/>
            <w:left w:val="none" w:sz="0" w:space="0" w:color="auto"/>
            <w:bottom w:val="none" w:sz="0" w:space="0" w:color="auto"/>
            <w:right w:val="none" w:sz="0" w:space="0" w:color="auto"/>
          </w:divBdr>
        </w:div>
        <w:div w:id="1083062600">
          <w:marLeft w:val="1123"/>
          <w:marRight w:val="0"/>
          <w:marTop w:val="60"/>
          <w:marBottom w:val="0"/>
          <w:divBdr>
            <w:top w:val="none" w:sz="0" w:space="0" w:color="auto"/>
            <w:left w:val="none" w:sz="0" w:space="0" w:color="auto"/>
            <w:bottom w:val="none" w:sz="0" w:space="0" w:color="auto"/>
            <w:right w:val="none" w:sz="0" w:space="0" w:color="auto"/>
          </w:divBdr>
        </w:div>
        <w:div w:id="1101343563">
          <w:marLeft w:val="547"/>
          <w:marRight w:val="0"/>
          <w:marTop w:val="60"/>
          <w:marBottom w:val="0"/>
          <w:divBdr>
            <w:top w:val="none" w:sz="0" w:space="0" w:color="auto"/>
            <w:left w:val="none" w:sz="0" w:space="0" w:color="auto"/>
            <w:bottom w:val="none" w:sz="0" w:space="0" w:color="auto"/>
            <w:right w:val="none" w:sz="0" w:space="0" w:color="auto"/>
          </w:divBdr>
        </w:div>
        <w:div w:id="1181552539">
          <w:marLeft w:val="1123"/>
          <w:marRight w:val="0"/>
          <w:marTop w:val="60"/>
          <w:marBottom w:val="0"/>
          <w:divBdr>
            <w:top w:val="none" w:sz="0" w:space="0" w:color="auto"/>
            <w:left w:val="none" w:sz="0" w:space="0" w:color="auto"/>
            <w:bottom w:val="none" w:sz="0" w:space="0" w:color="auto"/>
            <w:right w:val="none" w:sz="0" w:space="0" w:color="auto"/>
          </w:divBdr>
        </w:div>
        <w:div w:id="1262106270">
          <w:marLeft w:val="547"/>
          <w:marRight w:val="0"/>
          <w:marTop w:val="60"/>
          <w:marBottom w:val="0"/>
          <w:divBdr>
            <w:top w:val="none" w:sz="0" w:space="0" w:color="auto"/>
            <w:left w:val="none" w:sz="0" w:space="0" w:color="auto"/>
            <w:bottom w:val="none" w:sz="0" w:space="0" w:color="auto"/>
            <w:right w:val="none" w:sz="0" w:space="0" w:color="auto"/>
          </w:divBdr>
        </w:div>
        <w:div w:id="1307322458">
          <w:marLeft w:val="1699"/>
          <w:marRight w:val="0"/>
          <w:marTop w:val="60"/>
          <w:marBottom w:val="0"/>
          <w:divBdr>
            <w:top w:val="none" w:sz="0" w:space="0" w:color="auto"/>
            <w:left w:val="none" w:sz="0" w:space="0" w:color="auto"/>
            <w:bottom w:val="none" w:sz="0" w:space="0" w:color="auto"/>
            <w:right w:val="none" w:sz="0" w:space="0" w:color="auto"/>
          </w:divBdr>
        </w:div>
        <w:div w:id="1320304419">
          <w:marLeft w:val="1123"/>
          <w:marRight w:val="0"/>
          <w:marTop w:val="60"/>
          <w:marBottom w:val="0"/>
          <w:divBdr>
            <w:top w:val="none" w:sz="0" w:space="0" w:color="auto"/>
            <w:left w:val="none" w:sz="0" w:space="0" w:color="auto"/>
            <w:bottom w:val="none" w:sz="0" w:space="0" w:color="auto"/>
            <w:right w:val="none" w:sz="0" w:space="0" w:color="auto"/>
          </w:divBdr>
        </w:div>
        <w:div w:id="1343623980">
          <w:marLeft w:val="547"/>
          <w:marRight w:val="0"/>
          <w:marTop w:val="60"/>
          <w:marBottom w:val="0"/>
          <w:divBdr>
            <w:top w:val="none" w:sz="0" w:space="0" w:color="auto"/>
            <w:left w:val="none" w:sz="0" w:space="0" w:color="auto"/>
            <w:bottom w:val="none" w:sz="0" w:space="0" w:color="auto"/>
            <w:right w:val="none" w:sz="0" w:space="0" w:color="auto"/>
          </w:divBdr>
        </w:div>
        <w:div w:id="1574044847">
          <w:marLeft w:val="1123"/>
          <w:marRight w:val="0"/>
          <w:marTop w:val="60"/>
          <w:marBottom w:val="0"/>
          <w:divBdr>
            <w:top w:val="none" w:sz="0" w:space="0" w:color="auto"/>
            <w:left w:val="none" w:sz="0" w:space="0" w:color="auto"/>
            <w:bottom w:val="none" w:sz="0" w:space="0" w:color="auto"/>
            <w:right w:val="none" w:sz="0" w:space="0" w:color="auto"/>
          </w:divBdr>
        </w:div>
        <w:div w:id="1989824784">
          <w:marLeft w:val="2261"/>
          <w:marRight w:val="0"/>
          <w:marTop w:val="60"/>
          <w:marBottom w:val="0"/>
          <w:divBdr>
            <w:top w:val="none" w:sz="0" w:space="0" w:color="auto"/>
            <w:left w:val="none" w:sz="0" w:space="0" w:color="auto"/>
            <w:bottom w:val="none" w:sz="0" w:space="0" w:color="auto"/>
            <w:right w:val="none" w:sz="0" w:space="0" w:color="auto"/>
          </w:divBdr>
        </w:div>
        <w:div w:id="2071415461">
          <w:marLeft w:val="1123"/>
          <w:marRight w:val="0"/>
          <w:marTop w:val="60"/>
          <w:marBottom w:val="0"/>
          <w:divBdr>
            <w:top w:val="none" w:sz="0" w:space="0" w:color="auto"/>
            <w:left w:val="none" w:sz="0" w:space="0" w:color="auto"/>
            <w:bottom w:val="none" w:sz="0" w:space="0" w:color="auto"/>
            <w:right w:val="none" w:sz="0" w:space="0" w:color="auto"/>
          </w:divBdr>
        </w:div>
        <w:div w:id="2137408648">
          <w:marLeft w:val="1123"/>
          <w:marRight w:val="0"/>
          <w:marTop w:val="60"/>
          <w:marBottom w:val="0"/>
          <w:divBdr>
            <w:top w:val="none" w:sz="0" w:space="0" w:color="auto"/>
            <w:left w:val="none" w:sz="0" w:space="0" w:color="auto"/>
            <w:bottom w:val="none" w:sz="0" w:space="0" w:color="auto"/>
            <w:right w:val="none" w:sz="0" w:space="0" w:color="auto"/>
          </w:divBdr>
        </w:div>
      </w:divsChild>
    </w:div>
    <w:div w:id="833686740">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42494707">
      <w:bodyDiv w:val="1"/>
      <w:marLeft w:val="0"/>
      <w:marRight w:val="0"/>
      <w:marTop w:val="0"/>
      <w:marBottom w:val="0"/>
      <w:divBdr>
        <w:top w:val="none" w:sz="0" w:space="0" w:color="auto"/>
        <w:left w:val="none" w:sz="0" w:space="0" w:color="auto"/>
        <w:bottom w:val="none" w:sz="0" w:space="0" w:color="auto"/>
        <w:right w:val="none" w:sz="0" w:space="0" w:color="auto"/>
      </w:divBdr>
      <w:divsChild>
        <w:div w:id="129246811">
          <w:marLeft w:val="1123"/>
          <w:marRight w:val="0"/>
          <w:marTop w:val="60"/>
          <w:marBottom w:val="0"/>
          <w:divBdr>
            <w:top w:val="none" w:sz="0" w:space="0" w:color="auto"/>
            <w:left w:val="none" w:sz="0" w:space="0" w:color="auto"/>
            <w:bottom w:val="none" w:sz="0" w:space="0" w:color="auto"/>
            <w:right w:val="none" w:sz="0" w:space="0" w:color="auto"/>
          </w:divBdr>
        </w:div>
        <w:div w:id="343627605">
          <w:marLeft w:val="1699"/>
          <w:marRight w:val="0"/>
          <w:marTop w:val="60"/>
          <w:marBottom w:val="0"/>
          <w:divBdr>
            <w:top w:val="none" w:sz="0" w:space="0" w:color="auto"/>
            <w:left w:val="none" w:sz="0" w:space="0" w:color="auto"/>
            <w:bottom w:val="none" w:sz="0" w:space="0" w:color="auto"/>
            <w:right w:val="none" w:sz="0" w:space="0" w:color="auto"/>
          </w:divBdr>
        </w:div>
        <w:div w:id="531698591">
          <w:marLeft w:val="547"/>
          <w:marRight w:val="0"/>
          <w:marTop w:val="60"/>
          <w:marBottom w:val="0"/>
          <w:divBdr>
            <w:top w:val="none" w:sz="0" w:space="0" w:color="auto"/>
            <w:left w:val="none" w:sz="0" w:space="0" w:color="auto"/>
            <w:bottom w:val="none" w:sz="0" w:space="0" w:color="auto"/>
            <w:right w:val="none" w:sz="0" w:space="0" w:color="auto"/>
          </w:divBdr>
        </w:div>
        <w:div w:id="648636694">
          <w:marLeft w:val="1699"/>
          <w:marRight w:val="0"/>
          <w:marTop w:val="60"/>
          <w:marBottom w:val="0"/>
          <w:divBdr>
            <w:top w:val="none" w:sz="0" w:space="0" w:color="auto"/>
            <w:left w:val="none" w:sz="0" w:space="0" w:color="auto"/>
            <w:bottom w:val="none" w:sz="0" w:space="0" w:color="auto"/>
            <w:right w:val="none" w:sz="0" w:space="0" w:color="auto"/>
          </w:divBdr>
        </w:div>
        <w:div w:id="693114226">
          <w:marLeft w:val="2794"/>
          <w:marRight w:val="0"/>
          <w:marTop w:val="60"/>
          <w:marBottom w:val="0"/>
          <w:divBdr>
            <w:top w:val="none" w:sz="0" w:space="0" w:color="auto"/>
            <w:left w:val="none" w:sz="0" w:space="0" w:color="auto"/>
            <w:bottom w:val="none" w:sz="0" w:space="0" w:color="auto"/>
            <w:right w:val="none" w:sz="0" w:space="0" w:color="auto"/>
          </w:divBdr>
        </w:div>
        <w:div w:id="945578073">
          <w:marLeft w:val="2261"/>
          <w:marRight w:val="0"/>
          <w:marTop w:val="60"/>
          <w:marBottom w:val="0"/>
          <w:divBdr>
            <w:top w:val="none" w:sz="0" w:space="0" w:color="auto"/>
            <w:left w:val="none" w:sz="0" w:space="0" w:color="auto"/>
            <w:bottom w:val="none" w:sz="0" w:space="0" w:color="auto"/>
            <w:right w:val="none" w:sz="0" w:space="0" w:color="auto"/>
          </w:divBdr>
        </w:div>
        <w:div w:id="970136540">
          <w:marLeft w:val="1699"/>
          <w:marRight w:val="0"/>
          <w:marTop w:val="60"/>
          <w:marBottom w:val="0"/>
          <w:divBdr>
            <w:top w:val="none" w:sz="0" w:space="0" w:color="auto"/>
            <w:left w:val="none" w:sz="0" w:space="0" w:color="auto"/>
            <w:bottom w:val="none" w:sz="0" w:space="0" w:color="auto"/>
            <w:right w:val="none" w:sz="0" w:space="0" w:color="auto"/>
          </w:divBdr>
        </w:div>
        <w:div w:id="1225487146">
          <w:marLeft w:val="1123"/>
          <w:marRight w:val="0"/>
          <w:marTop w:val="60"/>
          <w:marBottom w:val="0"/>
          <w:divBdr>
            <w:top w:val="none" w:sz="0" w:space="0" w:color="auto"/>
            <w:left w:val="none" w:sz="0" w:space="0" w:color="auto"/>
            <w:bottom w:val="none" w:sz="0" w:space="0" w:color="auto"/>
            <w:right w:val="none" w:sz="0" w:space="0" w:color="auto"/>
          </w:divBdr>
        </w:div>
        <w:div w:id="1291746238">
          <w:marLeft w:val="1123"/>
          <w:marRight w:val="0"/>
          <w:marTop w:val="60"/>
          <w:marBottom w:val="0"/>
          <w:divBdr>
            <w:top w:val="none" w:sz="0" w:space="0" w:color="auto"/>
            <w:left w:val="none" w:sz="0" w:space="0" w:color="auto"/>
            <w:bottom w:val="none" w:sz="0" w:space="0" w:color="auto"/>
            <w:right w:val="none" w:sz="0" w:space="0" w:color="auto"/>
          </w:divBdr>
        </w:div>
        <w:div w:id="1341158088">
          <w:marLeft w:val="2794"/>
          <w:marRight w:val="0"/>
          <w:marTop w:val="60"/>
          <w:marBottom w:val="0"/>
          <w:divBdr>
            <w:top w:val="none" w:sz="0" w:space="0" w:color="auto"/>
            <w:left w:val="none" w:sz="0" w:space="0" w:color="auto"/>
            <w:bottom w:val="none" w:sz="0" w:space="0" w:color="auto"/>
            <w:right w:val="none" w:sz="0" w:space="0" w:color="auto"/>
          </w:divBdr>
        </w:div>
        <w:div w:id="1989819355">
          <w:marLeft w:val="1123"/>
          <w:marRight w:val="0"/>
          <w:marTop w:val="60"/>
          <w:marBottom w:val="0"/>
          <w:divBdr>
            <w:top w:val="none" w:sz="0" w:space="0" w:color="auto"/>
            <w:left w:val="none" w:sz="0" w:space="0" w:color="auto"/>
            <w:bottom w:val="none" w:sz="0" w:space="0" w:color="auto"/>
            <w:right w:val="none" w:sz="0" w:space="0" w:color="auto"/>
          </w:divBdr>
        </w:div>
        <w:div w:id="2097283176">
          <w:marLeft w:val="1699"/>
          <w:marRight w:val="0"/>
          <w:marTop w:val="60"/>
          <w:marBottom w:val="0"/>
          <w:divBdr>
            <w:top w:val="none" w:sz="0" w:space="0" w:color="auto"/>
            <w:left w:val="none" w:sz="0" w:space="0" w:color="auto"/>
            <w:bottom w:val="none" w:sz="0" w:space="0" w:color="auto"/>
            <w:right w:val="none" w:sz="0" w:space="0" w:color="auto"/>
          </w:divBdr>
        </w:div>
      </w:divsChild>
    </w:div>
    <w:div w:id="966617614">
      <w:bodyDiv w:val="1"/>
      <w:marLeft w:val="0"/>
      <w:marRight w:val="0"/>
      <w:marTop w:val="0"/>
      <w:marBottom w:val="0"/>
      <w:divBdr>
        <w:top w:val="none" w:sz="0" w:space="0" w:color="auto"/>
        <w:left w:val="none" w:sz="0" w:space="0" w:color="auto"/>
        <w:bottom w:val="none" w:sz="0" w:space="0" w:color="auto"/>
        <w:right w:val="none" w:sz="0" w:space="0" w:color="auto"/>
      </w:divBdr>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 w:id="999700471">
      <w:bodyDiv w:val="1"/>
      <w:marLeft w:val="0"/>
      <w:marRight w:val="0"/>
      <w:marTop w:val="0"/>
      <w:marBottom w:val="0"/>
      <w:divBdr>
        <w:top w:val="none" w:sz="0" w:space="0" w:color="auto"/>
        <w:left w:val="none" w:sz="0" w:space="0" w:color="auto"/>
        <w:bottom w:val="none" w:sz="0" w:space="0" w:color="auto"/>
        <w:right w:val="none" w:sz="0" w:space="0" w:color="auto"/>
      </w:divBdr>
      <w:divsChild>
        <w:div w:id="86924422">
          <w:marLeft w:val="1123"/>
          <w:marRight w:val="0"/>
          <w:marTop w:val="60"/>
          <w:marBottom w:val="0"/>
          <w:divBdr>
            <w:top w:val="none" w:sz="0" w:space="0" w:color="auto"/>
            <w:left w:val="none" w:sz="0" w:space="0" w:color="auto"/>
            <w:bottom w:val="none" w:sz="0" w:space="0" w:color="auto"/>
            <w:right w:val="none" w:sz="0" w:space="0" w:color="auto"/>
          </w:divBdr>
        </w:div>
        <w:div w:id="126704597">
          <w:marLeft w:val="1123"/>
          <w:marRight w:val="0"/>
          <w:marTop w:val="60"/>
          <w:marBottom w:val="0"/>
          <w:divBdr>
            <w:top w:val="none" w:sz="0" w:space="0" w:color="auto"/>
            <w:left w:val="none" w:sz="0" w:space="0" w:color="auto"/>
            <w:bottom w:val="none" w:sz="0" w:space="0" w:color="auto"/>
            <w:right w:val="none" w:sz="0" w:space="0" w:color="auto"/>
          </w:divBdr>
        </w:div>
        <w:div w:id="357047371">
          <w:marLeft w:val="547"/>
          <w:marRight w:val="0"/>
          <w:marTop w:val="60"/>
          <w:marBottom w:val="0"/>
          <w:divBdr>
            <w:top w:val="none" w:sz="0" w:space="0" w:color="auto"/>
            <w:left w:val="none" w:sz="0" w:space="0" w:color="auto"/>
            <w:bottom w:val="none" w:sz="0" w:space="0" w:color="auto"/>
            <w:right w:val="none" w:sz="0" w:space="0" w:color="auto"/>
          </w:divBdr>
        </w:div>
        <w:div w:id="405885866">
          <w:marLeft w:val="1123"/>
          <w:marRight w:val="0"/>
          <w:marTop w:val="60"/>
          <w:marBottom w:val="0"/>
          <w:divBdr>
            <w:top w:val="none" w:sz="0" w:space="0" w:color="auto"/>
            <w:left w:val="none" w:sz="0" w:space="0" w:color="auto"/>
            <w:bottom w:val="none" w:sz="0" w:space="0" w:color="auto"/>
            <w:right w:val="none" w:sz="0" w:space="0" w:color="auto"/>
          </w:divBdr>
        </w:div>
        <w:div w:id="434138210">
          <w:marLeft w:val="2261"/>
          <w:marRight w:val="0"/>
          <w:marTop w:val="60"/>
          <w:marBottom w:val="0"/>
          <w:divBdr>
            <w:top w:val="none" w:sz="0" w:space="0" w:color="auto"/>
            <w:left w:val="none" w:sz="0" w:space="0" w:color="auto"/>
            <w:bottom w:val="none" w:sz="0" w:space="0" w:color="auto"/>
            <w:right w:val="none" w:sz="0" w:space="0" w:color="auto"/>
          </w:divBdr>
        </w:div>
        <w:div w:id="448740051">
          <w:marLeft w:val="1123"/>
          <w:marRight w:val="0"/>
          <w:marTop w:val="60"/>
          <w:marBottom w:val="0"/>
          <w:divBdr>
            <w:top w:val="none" w:sz="0" w:space="0" w:color="auto"/>
            <w:left w:val="none" w:sz="0" w:space="0" w:color="auto"/>
            <w:bottom w:val="none" w:sz="0" w:space="0" w:color="auto"/>
            <w:right w:val="none" w:sz="0" w:space="0" w:color="auto"/>
          </w:divBdr>
        </w:div>
        <w:div w:id="451287016">
          <w:marLeft w:val="1123"/>
          <w:marRight w:val="0"/>
          <w:marTop w:val="60"/>
          <w:marBottom w:val="0"/>
          <w:divBdr>
            <w:top w:val="none" w:sz="0" w:space="0" w:color="auto"/>
            <w:left w:val="none" w:sz="0" w:space="0" w:color="auto"/>
            <w:bottom w:val="none" w:sz="0" w:space="0" w:color="auto"/>
            <w:right w:val="none" w:sz="0" w:space="0" w:color="auto"/>
          </w:divBdr>
        </w:div>
        <w:div w:id="483473212">
          <w:marLeft w:val="547"/>
          <w:marRight w:val="0"/>
          <w:marTop w:val="60"/>
          <w:marBottom w:val="0"/>
          <w:divBdr>
            <w:top w:val="none" w:sz="0" w:space="0" w:color="auto"/>
            <w:left w:val="none" w:sz="0" w:space="0" w:color="auto"/>
            <w:bottom w:val="none" w:sz="0" w:space="0" w:color="auto"/>
            <w:right w:val="none" w:sz="0" w:space="0" w:color="auto"/>
          </w:divBdr>
        </w:div>
        <w:div w:id="698820700">
          <w:marLeft w:val="2261"/>
          <w:marRight w:val="0"/>
          <w:marTop w:val="60"/>
          <w:marBottom w:val="0"/>
          <w:divBdr>
            <w:top w:val="none" w:sz="0" w:space="0" w:color="auto"/>
            <w:left w:val="none" w:sz="0" w:space="0" w:color="auto"/>
            <w:bottom w:val="none" w:sz="0" w:space="0" w:color="auto"/>
            <w:right w:val="none" w:sz="0" w:space="0" w:color="auto"/>
          </w:divBdr>
        </w:div>
        <w:div w:id="732317171">
          <w:marLeft w:val="547"/>
          <w:marRight w:val="0"/>
          <w:marTop w:val="60"/>
          <w:marBottom w:val="0"/>
          <w:divBdr>
            <w:top w:val="none" w:sz="0" w:space="0" w:color="auto"/>
            <w:left w:val="none" w:sz="0" w:space="0" w:color="auto"/>
            <w:bottom w:val="none" w:sz="0" w:space="0" w:color="auto"/>
            <w:right w:val="none" w:sz="0" w:space="0" w:color="auto"/>
          </w:divBdr>
        </w:div>
        <w:div w:id="862011646">
          <w:marLeft w:val="1123"/>
          <w:marRight w:val="0"/>
          <w:marTop w:val="60"/>
          <w:marBottom w:val="0"/>
          <w:divBdr>
            <w:top w:val="none" w:sz="0" w:space="0" w:color="auto"/>
            <w:left w:val="none" w:sz="0" w:space="0" w:color="auto"/>
            <w:bottom w:val="none" w:sz="0" w:space="0" w:color="auto"/>
            <w:right w:val="none" w:sz="0" w:space="0" w:color="auto"/>
          </w:divBdr>
        </w:div>
        <w:div w:id="1118253880">
          <w:marLeft w:val="1123"/>
          <w:marRight w:val="0"/>
          <w:marTop w:val="60"/>
          <w:marBottom w:val="0"/>
          <w:divBdr>
            <w:top w:val="none" w:sz="0" w:space="0" w:color="auto"/>
            <w:left w:val="none" w:sz="0" w:space="0" w:color="auto"/>
            <w:bottom w:val="none" w:sz="0" w:space="0" w:color="auto"/>
            <w:right w:val="none" w:sz="0" w:space="0" w:color="auto"/>
          </w:divBdr>
        </w:div>
        <w:div w:id="1474641354">
          <w:marLeft w:val="1123"/>
          <w:marRight w:val="0"/>
          <w:marTop w:val="60"/>
          <w:marBottom w:val="0"/>
          <w:divBdr>
            <w:top w:val="none" w:sz="0" w:space="0" w:color="auto"/>
            <w:left w:val="none" w:sz="0" w:space="0" w:color="auto"/>
            <w:bottom w:val="none" w:sz="0" w:space="0" w:color="auto"/>
            <w:right w:val="none" w:sz="0" w:space="0" w:color="auto"/>
          </w:divBdr>
        </w:div>
        <w:div w:id="1494488884">
          <w:marLeft w:val="1123"/>
          <w:marRight w:val="0"/>
          <w:marTop w:val="60"/>
          <w:marBottom w:val="0"/>
          <w:divBdr>
            <w:top w:val="none" w:sz="0" w:space="0" w:color="auto"/>
            <w:left w:val="none" w:sz="0" w:space="0" w:color="auto"/>
            <w:bottom w:val="none" w:sz="0" w:space="0" w:color="auto"/>
            <w:right w:val="none" w:sz="0" w:space="0" w:color="auto"/>
          </w:divBdr>
        </w:div>
        <w:div w:id="1703436380">
          <w:marLeft w:val="547"/>
          <w:marRight w:val="0"/>
          <w:marTop w:val="60"/>
          <w:marBottom w:val="0"/>
          <w:divBdr>
            <w:top w:val="none" w:sz="0" w:space="0" w:color="auto"/>
            <w:left w:val="none" w:sz="0" w:space="0" w:color="auto"/>
            <w:bottom w:val="none" w:sz="0" w:space="0" w:color="auto"/>
            <w:right w:val="none" w:sz="0" w:space="0" w:color="auto"/>
          </w:divBdr>
        </w:div>
        <w:div w:id="1713965771">
          <w:marLeft w:val="1699"/>
          <w:marRight w:val="0"/>
          <w:marTop w:val="60"/>
          <w:marBottom w:val="0"/>
          <w:divBdr>
            <w:top w:val="none" w:sz="0" w:space="0" w:color="auto"/>
            <w:left w:val="none" w:sz="0" w:space="0" w:color="auto"/>
            <w:bottom w:val="none" w:sz="0" w:space="0" w:color="auto"/>
            <w:right w:val="none" w:sz="0" w:space="0" w:color="auto"/>
          </w:divBdr>
        </w:div>
        <w:div w:id="1775785073">
          <w:marLeft w:val="1123"/>
          <w:marRight w:val="0"/>
          <w:marTop w:val="60"/>
          <w:marBottom w:val="0"/>
          <w:divBdr>
            <w:top w:val="none" w:sz="0" w:space="0" w:color="auto"/>
            <w:left w:val="none" w:sz="0" w:space="0" w:color="auto"/>
            <w:bottom w:val="none" w:sz="0" w:space="0" w:color="auto"/>
            <w:right w:val="none" w:sz="0" w:space="0" w:color="auto"/>
          </w:divBdr>
        </w:div>
        <w:div w:id="2045640761">
          <w:marLeft w:val="1123"/>
          <w:marRight w:val="0"/>
          <w:marTop w:val="60"/>
          <w:marBottom w:val="0"/>
          <w:divBdr>
            <w:top w:val="none" w:sz="0" w:space="0" w:color="auto"/>
            <w:left w:val="none" w:sz="0" w:space="0" w:color="auto"/>
            <w:bottom w:val="none" w:sz="0" w:space="0" w:color="auto"/>
            <w:right w:val="none" w:sz="0" w:space="0" w:color="auto"/>
          </w:divBdr>
        </w:div>
      </w:divsChild>
    </w:div>
    <w:div w:id="1111631551">
      <w:bodyDiv w:val="1"/>
      <w:marLeft w:val="0"/>
      <w:marRight w:val="0"/>
      <w:marTop w:val="0"/>
      <w:marBottom w:val="0"/>
      <w:divBdr>
        <w:top w:val="none" w:sz="0" w:space="0" w:color="auto"/>
        <w:left w:val="none" w:sz="0" w:space="0" w:color="auto"/>
        <w:bottom w:val="none" w:sz="0" w:space="0" w:color="auto"/>
        <w:right w:val="none" w:sz="0" w:space="0" w:color="auto"/>
      </w:divBdr>
      <w:divsChild>
        <w:div w:id="212235190">
          <w:marLeft w:val="1800"/>
          <w:marRight w:val="0"/>
          <w:marTop w:val="0"/>
          <w:marBottom w:val="0"/>
          <w:divBdr>
            <w:top w:val="none" w:sz="0" w:space="0" w:color="auto"/>
            <w:left w:val="none" w:sz="0" w:space="0" w:color="auto"/>
            <w:bottom w:val="none" w:sz="0" w:space="0" w:color="auto"/>
            <w:right w:val="none" w:sz="0" w:space="0" w:color="auto"/>
          </w:divBdr>
        </w:div>
        <w:div w:id="373701543">
          <w:marLeft w:val="1166"/>
          <w:marRight w:val="0"/>
          <w:marTop w:val="0"/>
          <w:marBottom w:val="0"/>
          <w:divBdr>
            <w:top w:val="none" w:sz="0" w:space="0" w:color="auto"/>
            <w:left w:val="none" w:sz="0" w:space="0" w:color="auto"/>
            <w:bottom w:val="none" w:sz="0" w:space="0" w:color="auto"/>
            <w:right w:val="none" w:sz="0" w:space="0" w:color="auto"/>
          </w:divBdr>
        </w:div>
        <w:div w:id="813134872">
          <w:marLeft w:val="1166"/>
          <w:marRight w:val="0"/>
          <w:marTop w:val="0"/>
          <w:marBottom w:val="0"/>
          <w:divBdr>
            <w:top w:val="none" w:sz="0" w:space="0" w:color="auto"/>
            <w:left w:val="none" w:sz="0" w:space="0" w:color="auto"/>
            <w:bottom w:val="none" w:sz="0" w:space="0" w:color="auto"/>
            <w:right w:val="none" w:sz="0" w:space="0" w:color="auto"/>
          </w:divBdr>
        </w:div>
        <w:div w:id="994989273">
          <w:marLeft w:val="1166"/>
          <w:marRight w:val="0"/>
          <w:marTop w:val="0"/>
          <w:marBottom w:val="0"/>
          <w:divBdr>
            <w:top w:val="none" w:sz="0" w:space="0" w:color="auto"/>
            <w:left w:val="none" w:sz="0" w:space="0" w:color="auto"/>
            <w:bottom w:val="none" w:sz="0" w:space="0" w:color="auto"/>
            <w:right w:val="none" w:sz="0" w:space="0" w:color="auto"/>
          </w:divBdr>
        </w:div>
        <w:div w:id="1106271332">
          <w:marLeft w:val="547"/>
          <w:marRight w:val="0"/>
          <w:marTop w:val="0"/>
          <w:marBottom w:val="0"/>
          <w:divBdr>
            <w:top w:val="none" w:sz="0" w:space="0" w:color="auto"/>
            <w:left w:val="none" w:sz="0" w:space="0" w:color="auto"/>
            <w:bottom w:val="none" w:sz="0" w:space="0" w:color="auto"/>
            <w:right w:val="none" w:sz="0" w:space="0" w:color="auto"/>
          </w:divBdr>
        </w:div>
        <w:div w:id="1348488220">
          <w:marLeft w:val="1166"/>
          <w:marRight w:val="0"/>
          <w:marTop w:val="0"/>
          <w:marBottom w:val="0"/>
          <w:divBdr>
            <w:top w:val="none" w:sz="0" w:space="0" w:color="auto"/>
            <w:left w:val="none" w:sz="0" w:space="0" w:color="auto"/>
            <w:bottom w:val="none" w:sz="0" w:space="0" w:color="auto"/>
            <w:right w:val="none" w:sz="0" w:space="0" w:color="auto"/>
          </w:divBdr>
        </w:div>
        <w:div w:id="1441954510">
          <w:marLeft w:val="1166"/>
          <w:marRight w:val="0"/>
          <w:marTop w:val="0"/>
          <w:marBottom w:val="0"/>
          <w:divBdr>
            <w:top w:val="none" w:sz="0" w:space="0" w:color="auto"/>
            <w:left w:val="none" w:sz="0" w:space="0" w:color="auto"/>
            <w:bottom w:val="none" w:sz="0" w:space="0" w:color="auto"/>
            <w:right w:val="none" w:sz="0" w:space="0" w:color="auto"/>
          </w:divBdr>
        </w:div>
        <w:div w:id="1763599782">
          <w:marLeft w:val="547"/>
          <w:marRight w:val="0"/>
          <w:marTop w:val="0"/>
          <w:marBottom w:val="0"/>
          <w:divBdr>
            <w:top w:val="none" w:sz="0" w:space="0" w:color="auto"/>
            <w:left w:val="none" w:sz="0" w:space="0" w:color="auto"/>
            <w:bottom w:val="none" w:sz="0" w:space="0" w:color="auto"/>
            <w:right w:val="none" w:sz="0" w:space="0" w:color="auto"/>
          </w:divBdr>
        </w:div>
        <w:div w:id="2004162684">
          <w:marLeft w:val="1166"/>
          <w:marRight w:val="0"/>
          <w:marTop w:val="0"/>
          <w:marBottom w:val="0"/>
          <w:divBdr>
            <w:top w:val="none" w:sz="0" w:space="0" w:color="auto"/>
            <w:left w:val="none" w:sz="0" w:space="0" w:color="auto"/>
            <w:bottom w:val="none" w:sz="0" w:space="0" w:color="auto"/>
            <w:right w:val="none" w:sz="0" w:space="0" w:color="auto"/>
          </w:divBdr>
        </w:div>
      </w:divsChild>
    </w:div>
    <w:div w:id="1218587575">
      <w:bodyDiv w:val="1"/>
      <w:marLeft w:val="0"/>
      <w:marRight w:val="0"/>
      <w:marTop w:val="0"/>
      <w:marBottom w:val="0"/>
      <w:divBdr>
        <w:top w:val="none" w:sz="0" w:space="0" w:color="auto"/>
        <w:left w:val="none" w:sz="0" w:space="0" w:color="auto"/>
        <w:bottom w:val="none" w:sz="0" w:space="0" w:color="auto"/>
        <w:right w:val="none" w:sz="0" w:space="0" w:color="auto"/>
      </w:divBdr>
    </w:div>
    <w:div w:id="1223251472">
      <w:bodyDiv w:val="1"/>
      <w:marLeft w:val="0"/>
      <w:marRight w:val="0"/>
      <w:marTop w:val="0"/>
      <w:marBottom w:val="0"/>
      <w:divBdr>
        <w:top w:val="none" w:sz="0" w:space="0" w:color="auto"/>
        <w:left w:val="none" w:sz="0" w:space="0" w:color="auto"/>
        <w:bottom w:val="none" w:sz="0" w:space="0" w:color="auto"/>
        <w:right w:val="none" w:sz="0" w:space="0" w:color="auto"/>
      </w:divBdr>
      <w:divsChild>
        <w:div w:id="192035435">
          <w:marLeft w:val="1699"/>
          <w:marRight w:val="0"/>
          <w:marTop w:val="60"/>
          <w:marBottom w:val="0"/>
          <w:divBdr>
            <w:top w:val="none" w:sz="0" w:space="0" w:color="auto"/>
            <w:left w:val="none" w:sz="0" w:space="0" w:color="auto"/>
            <w:bottom w:val="none" w:sz="0" w:space="0" w:color="auto"/>
            <w:right w:val="none" w:sz="0" w:space="0" w:color="auto"/>
          </w:divBdr>
        </w:div>
        <w:div w:id="259685617">
          <w:marLeft w:val="2261"/>
          <w:marRight w:val="0"/>
          <w:marTop w:val="60"/>
          <w:marBottom w:val="0"/>
          <w:divBdr>
            <w:top w:val="none" w:sz="0" w:space="0" w:color="auto"/>
            <w:left w:val="none" w:sz="0" w:space="0" w:color="auto"/>
            <w:bottom w:val="none" w:sz="0" w:space="0" w:color="auto"/>
            <w:right w:val="none" w:sz="0" w:space="0" w:color="auto"/>
          </w:divBdr>
        </w:div>
        <w:div w:id="371155560">
          <w:marLeft w:val="1699"/>
          <w:marRight w:val="0"/>
          <w:marTop w:val="60"/>
          <w:marBottom w:val="0"/>
          <w:divBdr>
            <w:top w:val="none" w:sz="0" w:space="0" w:color="auto"/>
            <w:left w:val="none" w:sz="0" w:space="0" w:color="auto"/>
            <w:bottom w:val="none" w:sz="0" w:space="0" w:color="auto"/>
            <w:right w:val="none" w:sz="0" w:space="0" w:color="auto"/>
          </w:divBdr>
        </w:div>
        <w:div w:id="491875174">
          <w:marLeft w:val="1699"/>
          <w:marRight w:val="0"/>
          <w:marTop w:val="60"/>
          <w:marBottom w:val="0"/>
          <w:divBdr>
            <w:top w:val="none" w:sz="0" w:space="0" w:color="auto"/>
            <w:left w:val="none" w:sz="0" w:space="0" w:color="auto"/>
            <w:bottom w:val="none" w:sz="0" w:space="0" w:color="auto"/>
            <w:right w:val="none" w:sz="0" w:space="0" w:color="auto"/>
          </w:divBdr>
        </w:div>
        <w:div w:id="869073016">
          <w:marLeft w:val="1699"/>
          <w:marRight w:val="0"/>
          <w:marTop w:val="60"/>
          <w:marBottom w:val="0"/>
          <w:divBdr>
            <w:top w:val="none" w:sz="0" w:space="0" w:color="auto"/>
            <w:left w:val="none" w:sz="0" w:space="0" w:color="auto"/>
            <w:bottom w:val="none" w:sz="0" w:space="0" w:color="auto"/>
            <w:right w:val="none" w:sz="0" w:space="0" w:color="auto"/>
          </w:divBdr>
        </w:div>
        <w:div w:id="1045763102">
          <w:marLeft w:val="547"/>
          <w:marRight w:val="0"/>
          <w:marTop w:val="60"/>
          <w:marBottom w:val="0"/>
          <w:divBdr>
            <w:top w:val="none" w:sz="0" w:space="0" w:color="auto"/>
            <w:left w:val="none" w:sz="0" w:space="0" w:color="auto"/>
            <w:bottom w:val="none" w:sz="0" w:space="0" w:color="auto"/>
            <w:right w:val="none" w:sz="0" w:space="0" w:color="auto"/>
          </w:divBdr>
        </w:div>
        <w:div w:id="1045982261">
          <w:marLeft w:val="2261"/>
          <w:marRight w:val="0"/>
          <w:marTop w:val="60"/>
          <w:marBottom w:val="0"/>
          <w:divBdr>
            <w:top w:val="none" w:sz="0" w:space="0" w:color="auto"/>
            <w:left w:val="none" w:sz="0" w:space="0" w:color="auto"/>
            <w:bottom w:val="none" w:sz="0" w:space="0" w:color="auto"/>
            <w:right w:val="none" w:sz="0" w:space="0" w:color="auto"/>
          </w:divBdr>
        </w:div>
        <w:div w:id="1227258760">
          <w:marLeft w:val="1123"/>
          <w:marRight w:val="0"/>
          <w:marTop w:val="60"/>
          <w:marBottom w:val="0"/>
          <w:divBdr>
            <w:top w:val="none" w:sz="0" w:space="0" w:color="auto"/>
            <w:left w:val="none" w:sz="0" w:space="0" w:color="auto"/>
            <w:bottom w:val="none" w:sz="0" w:space="0" w:color="auto"/>
            <w:right w:val="none" w:sz="0" w:space="0" w:color="auto"/>
          </w:divBdr>
        </w:div>
        <w:div w:id="1304579913">
          <w:marLeft w:val="1123"/>
          <w:marRight w:val="0"/>
          <w:marTop w:val="60"/>
          <w:marBottom w:val="0"/>
          <w:divBdr>
            <w:top w:val="none" w:sz="0" w:space="0" w:color="auto"/>
            <w:left w:val="none" w:sz="0" w:space="0" w:color="auto"/>
            <w:bottom w:val="none" w:sz="0" w:space="0" w:color="auto"/>
            <w:right w:val="none" w:sz="0" w:space="0" w:color="auto"/>
          </w:divBdr>
        </w:div>
        <w:div w:id="1322463930">
          <w:marLeft w:val="547"/>
          <w:marRight w:val="0"/>
          <w:marTop w:val="60"/>
          <w:marBottom w:val="0"/>
          <w:divBdr>
            <w:top w:val="none" w:sz="0" w:space="0" w:color="auto"/>
            <w:left w:val="none" w:sz="0" w:space="0" w:color="auto"/>
            <w:bottom w:val="none" w:sz="0" w:space="0" w:color="auto"/>
            <w:right w:val="none" w:sz="0" w:space="0" w:color="auto"/>
          </w:divBdr>
        </w:div>
        <w:div w:id="1407533567">
          <w:marLeft w:val="1699"/>
          <w:marRight w:val="0"/>
          <w:marTop w:val="60"/>
          <w:marBottom w:val="0"/>
          <w:divBdr>
            <w:top w:val="none" w:sz="0" w:space="0" w:color="auto"/>
            <w:left w:val="none" w:sz="0" w:space="0" w:color="auto"/>
            <w:bottom w:val="none" w:sz="0" w:space="0" w:color="auto"/>
            <w:right w:val="none" w:sz="0" w:space="0" w:color="auto"/>
          </w:divBdr>
        </w:div>
        <w:div w:id="1442064915">
          <w:marLeft w:val="1123"/>
          <w:marRight w:val="0"/>
          <w:marTop w:val="60"/>
          <w:marBottom w:val="0"/>
          <w:divBdr>
            <w:top w:val="none" w:sz="0" w:space="0" w:color="auto"/>
            <w:left w:val="none" w:sz="0" w:space="0" w:color="auto"/>
            <w:bottom w:val="none" w:sz="0" w:space="0" w:color="auto"/>
            <w:right w:val="none" w:sz="0" w:space="0" w:color="auto"/>
          </w:divBdr>
        </w:div>
        <w:div w:id="1511260554">
          <w:marLeft w:val="1123"/>
          <w:marRight w:val="0"/>
          <w:marTop w:val="60"/>
          <w:marBottom w:val="0"/>
          <w:divBdr>
            <w:top w:val="none" w:sz="0" w:space="0" w:color="auto"/>
            <w:left w:val="none" w:sz="0" w:space="0" w:color="auto"/>
            <w:bottom w:val="none" w:sz="0" w:space="0" w:color="auto"/>
            <w:right w:val="none" w:sz="0" w:space="0" w:color="auto"/>
          </w:divBdr>
        </w:div>
        <w:div w:id="1868444282">
          <w:marLeft w:val="1699"/>
          <w:marRight w:val="0"/>
          <w:marTop w:val="60"/>
          <w:marBottom w:val="0"/>
          <w:divBdr>
            <w:top w:val="none" w:sz="0" w:space="0" w:color="auto"/>
            <w:left w:val="none" w:sz="0" w:space="0" w:color="auto"/>
            <w:bottom w:val="none" w:sz="0" w:space="0" w:color="auto"/>
            <w:right w:val="none" w:sz="0" w:space="0" w:color="auto"/>
          </w:divBdr>
        </w:div>
        <w:div w:id="2038694928">
          <w:marLeft w:val="1123"/>
          <w:marRight w:val="0"/>
          <w:marTop w:val="60"/>
          <w:marBottom w:val="0"/>
          <w:divBdr>
            <w:top w:val="none" w:sz="0" w:space="0" w:color="auto"/>
            <w:left w:val="none" w:sz="0" w:space="0" w:color="auto"/>
            <w:bottom w:val="none" w:sz="0" w:space="0" w:color="auto"/>
            <w:right w:val="none" w:sz="0" w:space="0" w:color="auto"/>
          </w:divBdr>
        </w:div>
        <w:div w:id="2136555207">
          <w:marLeft w:val="1699"/>
          <w:marRight w:val="0"/>
          <w:marTop w:val="60"/>
          <w:marBottom w:val="0"/>
          <w:divBdr>
            <w:top w:val="none" w:sz="0" w:space="0" w:color="auto"/>
            <w:left w:val="none" w:sz="0" w:space="0" w:color="auto"/>
            <w:bottom w:val="none" w:sz="0" w:space="0" w:color="auto"/>
            <w:right w:val="none" w:sz="0" w:space="0" w:color="auto"/>
          </w:divBdr>
        </w:div>
      </w:divsChild>
    </w:div>
    <w:div w:id="1513716452">
      <w:bodyDiv w:val="1"/>
      <w:marLeft w:val="0"/>
      <w:marRight w:val="0"/>
      <w:marTop w:val="0"/>
      <w:marBottom w:val="0"/>
      <w:divBdr>
        <w:top w:val="none" w:sz="0" w:space="0" w:color="auto"/>
        <w:left w:val="none" w:sz="0" w:space="0" w:color="auto"/>
        <w:bottom w:val="none" w:sz="0" w:space="0" w:color="auto"/>
        <w:right w:val="none" w:sz="0" w:space="0" w:color="auto"/>
      </w:divBdr>
    </w:div>
    <w:div w:id="1628270286">
      <w:bodyDiv w:val="1"/>
      <w:marLeft w:val="0"/>
      <w:marRight w:val="0"/>
      <w:marTop w:val="0"/>
      <w:marBottom w:val="0"/>
      <w:divBdr>
        <w:top w:val="none" w:sz="0" w:space="0" w:color="auto"/>
        <w:left w:val="none" w:sz="0" w:space="0" w:color="auto"/>
        <w:bottom w:val="none" w:sz="0" w:space="0" w:color="auto"/>
        <w:right w:val="none" w:sz="0" w:space="0" w:color="auto"/>
      </w:divBdr>
      <w:divsChild>
        <w:div w:id="60711397">
          <w:marLeft w:val="1166"/>
          <w:marRight w:val="0"/>
          <w:marTop w:val="0"/>
          <w:marBottom w:val="0"/>
          <w:divBdr>
            <w:top w:val="none" w:sz="0" w:space="0" w:color="auto"/>
            <w:left w:val="none" w:sz="0" w:space="0" w:color="auto"/>
            <w:bottom w:val="none" w:sz="0" w:space="0" w:color="auto"/>
            <w:right w:val="none" w:sz="0" w:space="0" w:color="auto"/>
          </w:divBdr>
        </w:div>
        <w:div w:id="186607475">
          <w:marLeft w:val="1166"/>
          <w:marRight w:val="0"/>
          <w:marTop w:val="0"/>
          <w:marBottom w:val="0"/>
          <w:divBdr>
            <w:top w:val="none" w:sz="0" w:space="0" w:color="auto"/>
            <w:left w:val="none" w:sz="0" w:space="0" w:color="auto"/>
            <w:bottom w:val="none" w:sz="0" w:space="0" w:color="auto"/>
            <w:right w:val="none" w:sz="0" w:space="0" w:color="auto"/>
          </w:divBdr>
        </w:div>
        <w:div w:id="477501683">
          <w:marLeft w:val="1166"/>
          <w:marRight w:val="0"/>
          <w:marTop w:val="0"/>
          <w:marBottom w:val="0"/>
          <w:divBdr>
            <w:top w:val="none" w:sz="0" w:space="0" w:color="auto"/>
            <w:left w:val="none" w:sz="0" w:space="0" w:color="auto"/>
            <w:bottom w:val="none" w:sz="0" w:space="0" w:color="auto"/>
            <w:right w:val="none" w:sz="0" w:space="0" w:color="auto"/>
          </w:divBdr>
        </w:div>
        <w:div w:id="493225121">
          <w:marLeft w:val="1166"/>
          <w:marRight w:val="0"/>
          <w:marTop w:val="0"/>
          <w:marBottom w:val="0"/>
          <w:divBdr>
            <w:top w:val="none" w:sz="0" w:space="0" w:color="auto"/>
            <w:left w:val="none" w:sz="0" w:space="0" w:color="auto"/>
            <w:bottom w:val="none" w:sz="0" w:space="0" w:color="auto"/>
            <w:right w:val="none" w:sz="0" w:space="0" w:color="auto"/>
          </w:divBdr>
        </w:div>
        <w:div w:id="591201899">
          <w:marLeft w:val="1166"/>
          <w:marRight w:val="0"/>
          <w:marTop w:val="0"/>
          <w:marBottom w:val="0"/>
          <w:divBdr>
            <w:top w:val="none" w:sz="0" w:space="0" w:color="auto"/>
            <w:left w:val="none" w:sz="0" w:space="0" w:color="auto"/>
            <w:bottom w:val="none" w:sz="0" w:space="0" w:color="auto"/>
            <w:right w:val="none" w:sz="0" w:space="0" w:color="auto"/>
          </w:divBdr>
        </w:div>
        <w:div w:id="655181209">
          <w:marLeft w:val="547"/>
          <w:marRight w:val="0"/>
          <w:marTop w:val="0"/>
          <w:marBottom w:val="0"/>
          <w:divBdr>
            <w:top w:val="none" w:sz="0" w:space="0" w:color="auto"/>
            <w:left w:val="none" w:sz="0" w:space="0" w:color="auto"/>
            <w:bottom w:val="none" w:sz="0" w:space="0" w:color="auto"/>
            <w:right w:val="none" w:sz="0" w:space="0" w:color="auto"/>
          </w:divBdr>
        </w:div>
        <w:div w:id="672337548">
          <w:marLeft w:val="1166"/>
          <w:marRight w:val="0"/>
          <w:marTop w:val="0"/>
          <w:marBottom w:val="0"/>
          <w:divBdr>
            <w:top w:val="none" w:sz="0" w:space="0" w:color="auto"/>
            <w:left w:val="none" w:sz="0" w:space="0" w:color="auto"/>
            <w:bottom w:val="none" w:sz="0" w:space="0" w:color="auto"/>
            <w:right w:val="none" w:sz="0" w:space="0" w:color="auto"/>
          </w:divBdr>
        </w:div>
        <w:div w:id="706682089">
          <w:marLeft w:val="1166"/>
          <w:marRight w:val="0"/>
          <w:marTop w:val="0"/>
          <w:marBottom w:val="0"/>
          <w:divBdr>
            <w:top w:val="none" w:sz="0" w:space="0" w:color="auto"/>
            <w:left w:val="none" w:sz="0" w:space="0" w:color="auto"/>
            <w:bottom w:val="none" w:sz="0" w:space="0" w:color="auto"/>
            <w:right w:val="none" w:sz="0" w:space="0" w:color="auto"/>
          </w:divBdr>
        </w:div>
        <w:div w:id="807430438">
          <w:marLeft w:val="1166"/>
          <w:marRight w:val="0"/>
          <w:marTop w:val="0"/>
          <w:marBottom w:val="0"/>
          <w:divBdr>
            <w:top w:val="none" w:sz="0" w:space="0" w:color="auto"/>
            <w:left w:val="none" w:sz="0" w:space="0" w:color="auto"/>
            <w:bottom w:val="none" w:sz="0" w:space="0" w:color="auto"/>
            <w:right w:val="none" w:sz="0" w:space="0" w:color="auto"/>
          </w:divBdr>
        </w:div>
        <w:div w:id="833181001">
          <w:marLeft w:val="547"/>
          <w:marRight w:val="0"/>
          <w:marTop w:val="0"/>
          <w:marBottom w:val="0"/>
          <w:divBdr>
            <w:top w:val="none" w:sz="0" w:space="0" w:color="auto"/>
            <w:left w:val="none" w:sz="0" w:space="0" w:color="auto"/>
            <w:bottom w:val="none" w:sz="0" w:space="0" w:color="auto"/>
            <w:right w:val="none" w:sz="0" w:space="0" w:color="auto"/>
          </w:divBdr>
        </w:div>
        <w:div w:id="996691438">
          <w:marLeft w:val="1166"/>
          <w:marRight w:val="0"/>
          <w:marTop w:val="0"/>
          <w:marBottom w:val="0"/>
          <w:divBdr>
            <w:top w:val="none" w:sz="0" w:space="0" w:color="auto"/>
            <w:left w:val="none" w:sz="0" w:space="0" w:color="auto"/>
            <w:bottom w:val="none" w:sz="0" w:space="0" w:color="auto"/>
            <w:right w:val="none" w:sz="0" w:space="0" w:color="auto"/>
          </w:divBdr>
        </w:div>
        <w:div w:id="1243491125">
          <w:marLeft w:val="1166"/>
          <w:marRight w:val="0"/>
          <w:marTop w:val="0"/>
          <w:marBottom w:val="0"/>
          <w:divBdr>
            <w:top w:val="none" w:sz="0" w:space="0" w:color="auto"/>
            <w:left w:val="none" w:sz="0" w:space="0" w:color="auto"/>
            <w:bottom w:val="none" w:sz="0" w:space="0" w:color="auto"/>
            <w:right w:val="none" w:sz="0" w:space="0" w:color="auto"/>
          </w:divBdr>
        </w:div>
        <w:div w:id="1284190085">
          <w:marLeft w:val="1166"/>
          <w:marRight w:val="0"/>
          <w:marTop w:val="0"/>
          <w:marBottom w:val="0"/>
          <w:divBdr>
            <w:top w:val="none" w:sz="0" w:space="0" w:color="auto"/>
            <w:left w:val="none" w:sz="0" w:space="0" w:color="auto"/>
            <w:bottom w:val="none" w:sz="0" w:space="0" w:color="auto"/>
            <w:right w:val="none" w:sz="0" w:space="0" w:color="auto"/>
          </w:divBdr>
        </w:div>
        <w:div w:id="1301961702">
          <w:marLeft w:val="1166"/>
          <w:marRight w:val="0"/>
          <w:marTop w:val="0"/>
          <w:marBottom w:val="0"/>
          <w:divBdr>
            <w:top w:val="none" w:sz="0" w:space="0" w:color="auto"/>
            <w:left w:val="none" w:sz="0" w:space="0" w:color="auto"/>
            <w:bottom w:val="none" w:sz="0" w:space="0" w:color="auto"/>
            <w:right w:val="none" w:sz="0" w:space="0" w:color="auto"/>
          </w:divBdr>
        </w:div>
        <w:div w:id="1347944460">
          <w:marLeft w:val="1800"/>
          <w:marRight w:val="0"/>
          <w:marTop w:val="0"/>
          <w:marBottom w:val="0"/>
          <w:divBdr>
            <w:top w:val="none" w:sz="0" w:space="0" w:color="auto"/>
            <w:left w:val="none" w:sz="0" w:space="0" w:color="auto"/>
            <w:bottom w:val="none" w:sz="0" w:space="0" w:color="auto"/>
            <w:right w:val="none" w:sz="0" w:space="0" w:color="auto"/>
          </w:divBdr>
        </w:div>
        <w:div w:id="1581285206">
          <w:marLeft w:val="547"/>
          <w:marRight w:val="0"/>
          <w:marTop w:val="0"/>
          <w:marBottom w:val="0"/>
          <w:divBdr>
            <w:top w:val="none" w:sz="0" w:space="0" w:color="auto"/>
            <w:left w:val="none" w:sz="0" w:space="0" w:color="auto"/>
            <w:bottom w:val="none" w:sz="0" w:space="0" w:color="auto"/>
            <w:right w:val="none" w:sz="0" w:space="0" w:color="auto"/>
          </w:divBdr>
        </w:div>
        <w:div w:id="1582760607">
          <w:marLeft w:val="1166"/>
          <w:marRight w:val="0"/>
          <w:marTop w:val="0"/>
          <w:marBottom w:val="0"/>
          <w:divBdr>
            <w:top w:val="none" w:sz="0" w:space="0" w:color="auto"/>
            <w:left w:val="none" w:sz="0" w:space="0" w:color="auto"/>
            <w:bottom w:val="none" w:sz="0" w:space="0" w:color="auto"/>
            <w:right w:val="none" w:sz="0" w:space="0" w:color="auto"/>
          </w:divBdr>
        </w:div>
        <w:div w:id="1608585888">
          <w:marLeft w:val="1166"/>
          <w:marRight w:val="0"/>
          <w:marTop w:val="0"/>
          <w:marBottom w:val="0"/>
          <w:divBdr>
            <w:top w:val="none" w:sz="0" w:space="0" w:color="auto"/>
            <w:left w:val="none" w:sz="0" w:space="0" w:color="auto"/>
            <w:bottom w:val="none" w:sz="0" w:space="0" w:color="auto"/>
            <w:right w:val="none" w:sz="0" w:space="0" w:color="auto"/>
          </w:divBdr>
        </w:div>
        <w:div w:id="1634404840">
          <w:marLeft w:val="547"/>
          <w:marRight w:val="0"/>
          <w:marTop w:val="0"/>
          <w:marBottom w:val="0"/>
          <w:divBdr>
            <w:top w:val="none" w:sz="0" w:space="0" w:color="auto"/>
            <w:left w:val="none" w:sz="0" w:space="0" w:color="auto"/>
            <w:bottom w:val="none" w:sz="0" w:space="0" w:color="auto"/>
            <w:right w:val="none" w:sz="0" w:space="0" w:color="auto"/>
          </w:divBdr>
        </w:div>
        <w:div w:id="1788767695">
          <w:marLeft w:val="1166"/>
          <w:marRight w:val="0"/>
          <w:marTop w:val="0"/>
          <w:marBottom w:val="0"/>
          <w:divBdr>
            <w:top w:val="none" w:sz="0" w:space="0" w:color="auto"/>
            <w:left w:val="none" w:sz="0" w:space="0" w:color="auto"/>
            <w:bottom w:val="none" w:sz="0" w:space="0" w:color="auto"/>
            <w:right w:val="none" w:sz="0" w:space="0" w:color="auto"/>
          </w:divBdr>
        </w:div>
        <w:div w:id="2060935978">
          <w:marLeft w:val="1166"/>
          <w:marRight w:val="0"/>
          <w:marTop w:val="0"/>
          <w:marBottom w:val="0"/>
          <w:divBdr>
            <w:top w:val="none" w:sz="0" w:space="0" w:color="auto"/>
            <w:left w:val="none" w:sz="0" w:space="0" w:color="auto"/>
            <w:bottom w:val="none" w:sz="0" w:space="0" w:color="auto"/>
            <w:right w:val="none" w:sz="0" w:space="0" w:color="auto"/>
          </w:divBdr>
        </w:div>
      </w:divsChild>
    </w:div>
    <w:div w:id="1767261186">
      <w:bodyDiv w:val="1"/>
      <w:marLeft w:val="0"/>
      <w:marRight w:val="0"/>
      <w:marTop w:val="0"/>
      <w:marBottom w:val="0"/>
      <w:divBdr>
        <w:top w:val="none" w:sz="0" w:space="0" w:color="auto"/>
        <w:left w:val="none" w:sz="0" w:space="0" w:color="auto"/>
        <w:bottom w:val="none" w:sz="0" w:space="0" w:color="auto"/>
        <w:right w:val="none" w:sz="0" w:space="0" w:color="auto"/>
      </w:divBdr>
      <w:divsChild>
        <w:div w:id="221258566">
          <w:marLeft w:val="547"/>
          <w:marRight w:val="0"/>
          <w:marTop w:val="60"/>
          <w:marBottom w:val="0"/>
          <w:divBdr>
            <w:top w:val="none" w:sz="0" w:space="0" w:color="auto"/>
            <w:left w:val="none" w:sz="0" w:space="0" w:color="auto"/>
            <w:bottom w:val="none" w:sz="0" w:space="0" w:color="auto"/>
            <w:right w:val="none" w:sz="0" w:space="0" w:color="auto"/>
          </w:divBdr>
        </w:div>
        <w:div w:id="320348945">
          <w:marLeft w:val="1123"/>
          <w:marRight w:val="0"/>
          <w:marTop w:val="60"/>
          <w:marBottom w:val="0"/>
          <w:divBdr>
            <w:top w:val="none" w:sz="0" w:space="0" w:color="auto"/>
            <w:left w:val="none" w:sz="0" w:space="0" w:color="auto"/>
            <w:bottom w:val="none" w:sz="0" w:space="0" w:color="auto"/>
            <w:right w:val="none" w:sz="0" w:space="0" w:color="auto"/>
          </w:divBdr>
        </w:div>
        <w:div w:id="346905849">
          <w:marLeft w:val="547"/>
          <w:marRight w:val="0"/>
          <w:marTop w:val="60"/>
          <w:marBottom w:val="0"/>
          <w:divBdr>
            <w:top w:val="none" w:sz="0" w:space="0" w:color="auto"/>
            <w:left w:val="none" w:sz="0" w:space="0" w:color="auto"/>
            <w:bottom w:val="none" w:sz="0" w:space="0" w:color="auto"/>
            <w:right w:val="none" w:sz="0" w:space="0" w:color="auto"/>
          </w:divBdr>
        </w:div>
        <w:div w:id="572784960">
          <w:marLeft w:val="1123"/>
          <w:marRight w:val="0"/>
          <w:marTop w:val="60"/>
          <w:marBottom w:val="0"/>
          <w:divBdr>
            <w:top w:val="none" w:sz="0" w:space="0" w:color="auto"/>
            <w:left w:val="none" w:sz="0" w:space="0" w:color="auto"/>
            <w:bottom w:val="none" w:sz="0" w:space="0" w:color="auto"/>
            <w:right w:val="none" w:sz="0" w:space="0" w:color="auto"/>
          </w:divBdr>
        </w:div>
        <w:div w:id="592781881">
          <w:marLeft w:val="1123"/>
          <w:marRight w:val="0"/>
          <w:marTop w:val="60"/>
          <w:marBottom w:val="0"/>
          <w:divBdr>
            <w:top w:val="none" w:sz="0" w:space="0" w:color="auto"/>
            <w:left w:val="none" w:sz="0" w:space="0" w:color="auto"/>
            <w:bottom w:val="none" w:sz="0" w:space="0" w:color="auto"/>
            <w:right w:val="none" w:sz="0" w:space="0" w:color="auto"/>
          </w:divBdr>
        </w:div>
        <w:div w:id="629552890">
          <w:marLeft w:val="1123"/>
          <w:marRight w:val="0"/>
          <w:marTop w:val="60"/>
          <w:marBottom w:val="0"/>
          <w:divBdr>
            <w:top w:val="none" w:sz="0" w:space="0" w:color="auto"/>
            <w:left w:val="none" w:sz="0" w:space="0" w:color="auto"/>
            <w:bottom w:val="none" w:sz="0" w:space="0" w:color="auto"/>
            <w:right w:val="none" w:sz="0" w:space="0" w:color="auto"/>
          </w:divBdr>
        </w:div>
        <w:div w:id="747045369">
          <w:marLeft w:val="1123"/>
          <w:marRight w:val="0"/>
          <w:marTop w:val="60"/>
          <w:marBottom w:val="0"/>
          <w:divBdr>
            <w:top w:val="none" w:sz="0" w:space="0" w:color="auto"/>
            <w:left w:val="none" w:sz="0" w:space="0" w:color="auto"/>
            <w:bottom w:val="none" w:sz="0" w:space="0" w:color="auto"/>
            <w:right w:val="none" w:sz="0" w:space="0" w:color="auto"/>
          </w:divBdr>
        </w:div>
        <w:div w:id="760184427">
          <w:marLeft w:val="1123"/>
          <w:marRight w:val="0"/>
          <w:marTop w:val="60"/>
          <w:marBottom w:val="0"/>
          <w:divBdr>
            <w:top w:val="none" w:sz="0" w:space="0" w:color="auto"/>
            <w:left w:val="none" w:sz="0" w:space="0" w:color="auto"/>
            <w:bottom w:val="none" w:sz="0" w:space="0" w:color="auto"/>
            <w:right w:val="none" w:sz="0" w:space="0" w:color="auto"/>
          </w:divBdr>
        </w:div>
        <w:div w:id="1025407077">
          <w:marLeft w:val="1123"/>
          <w:marRight w:val="0"/>
          <w:marTop w:val="60"/>
          <w:marBottom w:val="0"/>
          <w:divBdr>
            <w:top w:val="none" w:sz="0" w:space="0" w:color="auto"/>
            <w:left w:val="none" w:sz="0" w:space="0" w:color="auto"/>
            <w:bottom w:val="none" w:sz="0" w:space="0" w:color="auto"/>
            <w:right w:val="none" w:sz="0" w:space="0" w:color="auto"/>
          </w:divBdr>
        </w:div>
        <w:div w:id="1062564318">
          <w:marLeft w:val="1123"/>
          <w:marRight w:val="0"/>
          <w:marTop w:val="60"/>
          <w:marBottom w:val="0"/>
          <w:divBdr>
            <w:top w:val="none" w:sz="0" w:space="0" w:color="auto"/>
            <w:left w:val="none" w:sz="0" w:space="0" w:color="auto"/>
            <w:bottom w:val="none" w:sz="0" w:space="0" w:color="auto"/>
            <w:right w:val="none" w:sz="0" w:space="0" w:color="auto"/>
          </w:divBdr>
        </w:div>
        <w:div w:id="1098140181">
          <w:marLeft w:val="1123"/>
          <w:marRight w:val="0"/>
          <w:marTop w:val="60"/>
          <w:marBottom w:val="0"/>
          <w:divBdr>
            <w:top w:val="none" w:sz="0" w:space="0" w:color="auto"/>
            <w:left w:val="none" w:sz="0" w:space="0" w:color="auto"/>
            <w:bottom w:val="none" w:sz="0" w:space="0" w:color="auto"/>
            <w:right w:val="none" w:sz="0" w:space="0" w:color="auto"/>
          </w:divBdr>
        </w:div>
        <w:div w:id="1335493128">
          <w:marLeft w:val="2261"/>
          <w:marRight w:val="0"/>
          <w:marTop w:val="60"/>
          <w:marBottom w:val="0"/>
          <w:divBdr>
            <w:top w:val="none" w:sz="0" w:space="0" w:color="auto"/>
            <w:left w:val="none" w:sz="0" w:space="0" w:color="auto"/>
            <w:bottom w:val="none" w:sz="0" w:space="0" w:color="auto"/>
            <w:right w:val="none" w:sz="0" w:space="0" w:color="auto"/>
          </w:divBdr>
        </w:div>
        <w:div w:id="1384450795">
          <w:marLeft w:val="2261"/>
          <w:marRight w:val="0"/>
          <w:marTop w:val="60"/>
          <w:marBottom w:val="0"/>
          <w:divBdr>
            <w:top w:val="none" w:sz="0" w:space="0" w:color="auto"/>
            <w:left w:val="none" w:sz="0" w:space="0" w:color="auto"/>
            <w:bottom w:val="none" w:sz="0" w:space="0" w:color="auto"/>
            <w:right w:val="none" w:sz="0" w:space="0" w:color="auto"/>
          </w:divBdr>
        </w:div>
        <w:div w:id="1406608147">
          <w:marLeft w:val="1123"/>
          <w:marRight w:val="0"/>
          <w:marTop w:val="60"/>
          <w:marBottom w:val="0"/>
          <w:divBdr>
            <w:top w:val="none" w:sz="0" w:space="0" w:color="auto"/>
            <w:left w:val="none" w:sz="0" w:space="0" w:color="auto"/>
            <w:bottom w:val="none" w:sz="0" w:space="0" w:color="auto"/>
            <w:right w:val="none" w:sz="0" w:space="0" w:color="auto"/>
          </w:divBdr>
        </w:div>
        <w:div w:id="1560902812">
          <w:marLeft w:val="547"/>
          <w:marRight w:val="0"/>
          <w:marTop w:val="60"/>
          <w:marBottom w:val="0"/>
          <w:divBdr>
            <w:top w:val="none" w:sz="0" w:space="0" w:color="auto"/>
            <w:left w:val="none" w:sz="0" w:space="0" w:color="auto"/>
            <w:bottom w:val="none" w:sz="0" w:space="0" w:color="auto"/>
            <w:right w:val="none" w:sz="0" w:space="0" w:color="auto"/>
          </w:divBdr>
        </w:div>
        <w:div w:id="1894273884">
          <w:marLeft w:val="1123"/>
          <w:marRight w:val="0"/>
          <w:marTop w:val="60"/>
          <w:marBottom w:val="0"/>
          <w:divBdr>
            <w:top w:val="none" w:sz="0" w:space="0" w:color="auto"/>
            <w:left w:val="none" w:sz="0" w:space="0" w:color="auto"/>
            <w:bottom w:val="none" w:sz="0" w:space="0" w:color="auto"/>
            <w:right w:val="none" w:sz="0" w:space="0" w:color="auto"/>
          </w:divBdr>
        </w:div>
        <w:div w:id="1996256659">
          <w:marLeft w:val="1699"/>
          <w:marRight w:val="0"/>
          <w:marTop w:val="60"/>
          <w:marBottom w:val="0"/>
          <w:divBdr>
            <w:top w:val="none" w:sz="0" w:space="0" w:color="auto"/>
            <w:left w:val="none" w:sz="0" w:space="0" w:color="auto"/>
            <w:bottom w:val="none" w:sz="0" w:space="0" w:color="auto"/>
            <w:right w:val="none" w:sz="0" w:space="0" w:color="auto"/>
          </w:divBdr>
        </w:div>
        <w:div w:id="2135319090">
          <w:marLeft w:val="547"/>
          <w:marRight w:val="0"/>
          <w:marTop w:val="60"/>
          <w:marBottom w:val="0"/>
          <w:divBdr>
            <w:top w:val="none" w:sz="0" w:space="0" w:color="auto"/>
            <w:left w:val="none" w:sz="0" w:space="0" w:color="auto"/>
            <w:bottom w:val="none" w:sz="0" w:space="0" w:color="auto"/>
            <w:right w:val="none" w:sz="0" w:space="0" w:color="auto"/>
          </w:divBdr>
        </w:div>
      </w:divsChild>
    </w:div>
    <w:div w:id="1778793133">
      <w:bodyDiv w:val="1"/>
      <w:marLeft w:val="0"/>
      <w:marRight w:val="0"/>
      <w:marTop w:val="0"/>
      <w:marBottom w:val="0"/>
      <w:divBdr>
        <w:top w:val="none" w:sz="0" w:space="0" w:color="auto"/>
        <w:left w:val="none" w:sz="0" w:space="0" w:color="auto"/>
        <w:bottom w:val="none" w:sz="0" w:space="0" w:color="auto"/>
        <w:right w:val="none" w:sz="0" w:space="0" w:color="auto"/>
      </w:divBdr>
    </w:div>
    <w:div w:id="1781534662">
      <w:bodyDiv w:val="1"/>
      <w:marLeft w:val="0"/>
      <w:marRight w:val="0"/>
      <w:marTop w:val="0"/>
      <w:marBottom w:val="0"/>
      <w:divBdr>
        <w:top w:val="none" w:sz="0" w:space="0" w:color="auto"/>
        <w:left w:val="none" w:sz="0" w:space="0" w:color="auto"/>
        <w:bottom w:val="none" w:sz="0" w:space="0" w:color="auto"/>
        <w:right w:val="none" w:sz="0" w:space="0" w:color="auto"/>
      </w:divBdr>
      <w:divsChild>
        <w:div w:id="4090597">
          <w:marLeft w:val="1166"/>
          <w:marRight w:val="0"/>
          <w:marTop w:val="0"/>
          <w:marBottom w:val="0"/>
          <w:divBdr>
            <w:top w:val="none" w:sz="0" w:space="0" w:color="auto"/>
            <w:left w:val="none" w:sz="0" w:space="0" w:color="auto"/>
            <w:bottom w:val="none" w:sz="0" w:space="0" w:color="auto"/>
            <w:right w:val="none" w:sz="0" w:space="0" w:color="auto"/>
          </w:divBdr>
        </w:div>
        <w:div w:id="115490287">
          <w:marLeft w:val="1166"/>
          <w:marRight w:val="0"/>
          <w:marTop w:val="0"/>
          <w:marBottom w:val="0"/>
          <w:divBdr>
            <w:top w:val="none" w:sz="0" w:space="0" w:color="auto"/>
            <w:left w:val="none" w:sz="0" w:space="0" w:color="auto"/>
            <w:bottom w:val="none" w:sz="0" w:space="0" w:color="auto"/>
            <w:right w:val="none" w:sz="0" w:space="0" w:color="auto"/>
          </w:divBdr>
        </w:div>
        <w:div w:id="254632053">
          <w:marLeft w:val="1166"/>
          <w:marRight w:val="0"/>
          <w:marTop w:val="0"/>
          <w:marBottom w:val="0"/>
          <w:divBdr>
            <w:top w:val="none" w:sz="0" w:space="0" w:color="auto"/>
            <w:left w:val="none" w:sz="0" w:space="0" w:color="auto"/>
            <w:bottom w:val="none" w:sz="0" w:space="0" w:color="auto"/>
            <w:right w:val="none" w:sz="0" w:space="0" w:color="auto"/>
          </w:divBdr>
        </w:div>
        <w:div w:id="318853425">
          <w:marLeft w:val="547"/>
          <w:marRight w:val="0"/>
          <w:marTop w:val="0"/>
          <w:marBottom w:val="0"/>
          <w:divBdr>
            <w:top w:val="none" w:sz="0" w:space="0" w:color="auto"/>
            <w:left w:val="none" w:sz="0" w:space="0" w:color="auto"/>
            <w:bottom w:val="none" w:sz="0" w:space="0" w:color="auto"/>
            <w:right w:val="none" w:sz="0" w:space="0" w:color="auto"/>
          </w:divBdr>
        </w:div>
        <w:div w:id="526989548">
          <w:marLeft w:val="1166"/>
          <w:marRight w:val="0"/>
          <w:marTop w:val="0"/>
          <w:marBottom w:val="0"/>
          <w:divBdr>
            <w:top w:val="none" w:sz="0" w:space="0" w:color="auto"/>
            <w:left w:val="none" w:sz="0" w:space="0" w:color="auto"/>
            <w:bottom w:val="none" w:sz="0" w:space="0" w:color="auto"/>
            <w:right w:val="none" w:sz="0" w:space="0" w:color="auto"/>
          </w:divBdr>
        </w:div>
        <w:div w:id="537471602">
          <w:marLeft w:val="547"/>
          <w:marRight w:val="0"/>
          <w:marTop w:val="0"/>
          <w:marBottom w:val="0"/>
          <w:divBdr>
            <w:top w:val="none" w:sz="0" w:space="0" w:color="auto"/>
            <w:left w:val="none" w:sz="0" w:space="0" w:color="auto"/>
            <w:bottom w:val="none" w:sz="0" w:space="0" w:color="auto"/>
            <w:right w:val="none" w:sz="0" w:space="0" w:color="auto"/>
          </w:divBdr>
        </w:div>
        <w:div w:id="847448548">
          <w:marLeft w:val="1800"/>
          <w:marRight w:val="0"/>
          <w:marTop w:val="0"/>
          <w:marBottom w:val="0"/>
          <w:divBdr>
            <w:top w:val="none" w:sz="0" w:space="0" w:color="auto"/>
            <w:left w:val="none" w:sz="0" w:space="0" w:color="auto"/>
            <w:bottom w:val="none" w:sz="0" w:space="0" w:color="auto"/>
            <w:right w:val="none" w:sz="0" w:space="0" w:color="auto"/>
          </w:divBdr>
        </w:div>
        <w:div w:id="885021946">
          <w:marLeft w:val="1166"/>
          <w:marRight w:val="0"/>
          <w:marTop w:val="0"/>
          <w:marBottom w:val="0"/>
          <w:divBdr>
            <w:top w:val="none" w:sz="0" w:space="0" w:color="auto"/>
            <w:left w:val="none" w:sz="0" w:space="0" w:color="auto"/>
            <w:bottom w:val="none" w:sz="0" w:space="0" w:color="auto"/>
            <w:right w:val="none" w:sz="0" w:space="0" w:color="auto"/>
          </w:divBdr>
        </w:div>
        <w:div w:id="997851732">
          <w:marLeft w:val="547"/>
          <w:marRight w:val="0"/>
          <w:marTop w:val="0"/>
          <w:marBottom w:val="0"/>
          <w:divBdr>
            <w:top w:val="none" w:sz="0" w:space="0" w:color="auto"/>
            <w:left w:val="none" w:sz="0" w:space="0" w:color="auto"/>
            <w:bottom w:val="none" w:sz="0" w:space="0" w:color="auto"/>
            <w:right w:val="none" w:sz="0" w:space="0" w:color="auto"/>
          </w:divBdr>
        </w:div>
        <w:div w:id="1110586904">
          <w:marLeft w:val="1166"/>
          <w:marRight w:val="0"/>
          <w:marTop w:val="0"/>
          <w:marBottom w:val="0"/>
          <w:divBdr>
            <w:top w:val="none" w:sz="0" w:space="0" w:color="auto"/>
            <w:left w:val="none" w:sz="0" w:space="0" w:color="auto"/>
            <w:bottom w:val="none" w:sz="0" w:space="0" w:color="auto"/>
            <w:right w:val="none" w:sz="0" w:space="0" w:color="auto"/>
          </w:divBdr>
        </w:div>
        <w:div w:id="1324508972">
          <w:marLeft w:val="1166"/>
          <w:marRight w:val="0"/>
          <w:marTop w:val="0"/>
          <w:marBottom w:val="0"/>
          <w:divBdr>
            <w:top w:val="none" w:sz="0" w:space="0" w:color="auto"/>
            <w:left w:val="none" w:sz="0" w:space="0" w:color="auto"/>
            <w:bottom w:val="none" w:sz="0" w:space="0" w:color="auto"/>
            <w:right w:val="none" w:sz="0" w:space="0" w:color="auto"/>
          </w:divBdr>
        </w:div>
        <w:div w:id="1337079768">
          <w:marLeft w:val="1166"/>
          <w:marRight w:val="0"/>
          <w:marTop w:val="0"/>
          <w:marBottom w:val="0"/>
          <w:divBdr>
            <w:top w:val="none" w:sz="0" w:space="0" w:color="auto"/>
            <w:left w:val="none" w:sz="0" w:space="0" w:color="auto"/>
            <w:bottom w:val="none" w:sz="0" w:space="0" w:color="auto"/>
            <w:right w:val="none" w:sz="0" w:space="0" w:color="auto"/>
          </w:divBdr>
        </w:div>
        <w:div w:id="1448425146">
          <w:marLeft w:val="547"/>
          <w:marRight w:val="0"/>
          <w:marTop w:val="0"/>
          <w:marBottom w:val="0"/>
          <w:divBdr>
            <w:top w:val="none" w:sz="0" w:space="0" w:color="auto"/>
            <w:left w:val="none" w:sz="0" w:space="0" w:color="auto"/>
            <w:bottom w:val="none" w:sz="0" w:space="0" w:color="auto"/>
            <w:right w:val="none" w:sz="0" w:space="0" w:color="auto"/>
          </w:divBdr>
        </w:div>
        <w:div w:id="1571580616">
          <w:marLeft w:val="1166"/>
          <w:marRight w:val="0"/>
          <w:marTop w:val="0"/>
          <w:marBottom w:val="0"/>
          <w:divBdr>
            <w:top w:val="none" w:sz="0" w:space="0" w:color="auto"/>
            <w:left w:val="none" w:sz="0" w:space="0" w:color="auto"/>
            <w:bottom w:val="none" w:sz="0" w:space="0" w:color="auto"/>
            <w:right w:val="none" w:sz="0" w:space="0" w:color="auto"/>
          </w:divBdr>
        </w:div>
        <w:div w:id="1637180204">
          <w:marLeft w:val="1166"/>
          <w:marRight w:val="0"/>
          <w:marTop w:val="0"/>
          <w:marBottom w:val="0"/>
          <w:divBdr>
            <w:top w:val="none" w:sz="0" w:space="0" w:color="auto"/>
            <w:left w:val="none" w:sz="0" w:space="0" w:color="auto"/>
            <w:bottom w:val="none" w:sz="0" w:space="0" w:color="auto"/>
            <w:right w:val="none" w:sz="0" w:space="0" w:color="auto"/>
          </w:divBdr>
        </w:div>
        <w:div w:id="1703439725">
          <w:marLeft w:val="1166"/>
          <w:marRight w:val="0"/>
          <w:marTop w:val="0"/>
          <w:marBottom w:val="0"/>
          <w:divBdr>
            <w:top w:val="none" w:sz="0" w:space="0" w:color="auto"/>
            <w:left w:val="none" w:sz="0" w:space="0" w:color="auto"/>
            <w:bottom w:val="none" w:sz="0" w:space="0" w:color="auto"/>
            <w:right w:val="none" w:sz="0" w:space="0" w:color="auto"/>
          </w:divBdr>
        </w:div>
        <w:div w:id="1767768270">
          <w:marLeft w:val="1166"/>
          <w:marRight w:val="0"/>
          <w:marTop w:val="0"/>
          <w:marBottom w:val="0"/>
          <w:divBdr>
            <w:top w:val="none" w:sz="0" w:space="0" w:color="auto"/>
            <w:left w:val="none" w:sz="0" w:space="0" w:color="auto"/>
            <w:bottom w:val="none" w:sz="0" w:space="0" w:color="auto"/>
            <w:right w:val="none" w:sz="0" w:space="0" w:color="auto"/>
          </w:divBdr>
        </w:div>
        <w:div w:id="1777940200">
          <w:marLeft w:val="1166"/>
          <w:marRight w:val="0"/>
          <w:marTop w:val="0"/>
          <w:marBottom w:val="0"/>
          <w:divBdr>
            <w:top w:val="none" w:sz="0" w:space="0" w:color="auto"/>
            <w:left w:val="none" w:sz="0" w:space="0" w:color="auto"/>
            <w:bottom w:val="none" w:sz="0" w:space="0" w:color="auto"/>
            <w:right w:val="none" w:sz="0" w:space="0" w:color="auto"/>
          </w:divBdr>
        </w:div>
        <w:div w:id="1848055047">
          <w:marLeft w:val="1166"/>
          <w:marRight w:val="0"/>
          <w:marTop w:val="0"/>
          <w:marBottom w:val="0"/>
          <w:divBdr>
            <w:top w:val="none" w:sz="0" w:space="0" w:color="auto"/>
            <w:left w:val="none" w:sz="0" w:space="0" w:color="auto"/>
            <w:bottom w:val="none" w:sz="0" w:space="0" w:color="auto"/>
            <w:right w:val="none" w:sz="0" w:space="0" w:color="auto"/>
          </w:divBdr>
        </w:div>
        <w:div w:id="1856115366">
          <w:marLeft w:val="1166"/>
          <w:marRight w:val="0"/>
          <w:marTop w:val="0"/>
          <w:marBottom w:val="0"/>
          <w:divBdr>
            <w:top w:val="none" w:sz="0" w:space="0" w:color="auto"/>
            <w:left w:val="none" w:sz="0" w:space="0" w:color="auto"/>
            <w:bottom w:val="none" w:sz="0" w:space="0" w:color="auto"/>
            <w:right w:val="none" w:sz="0" w:space="0" w:color="auto"/>
          </w:divBdr>
        </w:div>
        <w:div w:id="1955670428">
          <w:marLeft w:val="1166"/>
          <w:marRight w:val="0"/>
          <w:marTop w:val="0"/>
          <w:marBottom w:val="0"/>
          <w:divBdr>
            <w:top w:val="none" w:sz="0" w:space="0" w:color="auto"/>
            <w:left w:val="none" w:sz="0" w:space="0" w:color="auto"/>
            <w:bottom w:val="none" w:sz="0" w:space="0" w:color="auto"/>
            <w:right w:val="none" w:sz="0" w:space="0" w:color="auto"/>
          </w:divBdr>
        </w:div>
      </w:divsChild>
    </w:div>
    <w:div w:id="1807428032">
      <w:bodyDiv w:val="1"/>
      <w:marLeft w:val="0"/>
      <w:marRight w:val="0"/>
      <w:marTop w:val="0"/>
      <w:marBottom w:val="0"/>
      <w:divBdr>
        <w:top w:val="none" w:sz="0" w:space="0" w:color="auto"/>
        <w:left w:val="none" w:sz="0" w:space="0" w:color="auto"/>
        <w:bottom w:val="none" w:sz="0" w:space="0" w:color="auto"/>
        <w:right w:val="none" w:sz="0" w:space="0" w:color="auto"/>
      </w:divBdr>
    </w:div>
    <w:div w:id="2086754463">
      <w:bodyDiv w:val="1"/>
      <w:marLeft w:val="0"/>
      <w:marRight w:val="0"/>
      <w:marTop w:val="0"/>
      <w:marBottom w:val="0"/>
      <w:divBdr>
        <w:top w:val="none" w:sz="0" w:space="0" w:color="auto"/>
        <w:left w:val="none" w:sz="0" w:space="0" w:color="auto"/>
        <w:bottom w:val="none" w:sz="0" w:space="0" w:color="auto"/>
        <w:right w:val="none" w:sz="0" w:space="0" w:color="auto"/>
      </w:divBdr>
      <w:divsChild>
        <w:div w:id="10956458">
          <w:marLeft w:val="1699"/>
          <w:marRight w:val="0"/>
          <w:marTop w:val="60"/>
          <w:marBottom w:val="0"/>
          <w:divBdr>
            <w:top w:val="none" w:sz="0" w:space="0" w:color="auto"/>
            <w:left w:val="none" w:sz="0" w:space="0" w:color="auto"/>
            <w:bottom w:val="none" w:sz="0" w:space="0" w:color="auto"/>
            <w:right w:val="none" w:sz="0" w:space="0" w:color="auto"/>
          </w:divBdr>
        </w:div>
        <w:div w:id="322710011">
          <w:marLeft w:val="1699"/>
          <w:marRight w:val="0"/>
          <w:marTop w:val="60"/>
          <w:marBottom w:val="0"/>
          <w:divBdr>
            <w:top w:val="none" w:sz="0" w:space="0" w:color="auto"/>
            <w:left w:val="none" w:sz="0" w:space="0" w:color="auto"/>
            <w:bottom w:val="none" w:sz="0" w:space="0" w:color="auto"/>
            <w:right w:val="none" w:sz="0" w:space="0" w:color="auto"/>
          </w:divBdr>
        </w:div>
        <w:div w:id="440296872">
          <w:marLeft w:val="1123"/>
          <w:marRight w:val="0"/>
          <w:marTop w:val="60"/>
          <w:marBottom w:val="0"/>
          <w:divBdr>
            <w:top w:val="none" w:sz="0" w:space="0" w:color="auto"/>
            <w:left w:val="none" w:sz="0" w:space="0" w:color="auto"/>
            <w:bottom w:val="none" w:sz="0" w:space="0" w:color="auto"/>
            <w:right w:val="none" w:sz="0" w:space="0" w:color="auto"/>
          </w:divBdr>
        </w:div>
        <w:div w:id="569124000">
          <w:marLeft w:val="547"/>
          <w:marRight w:val="0"/>
          <w:marTop w:val="60"/>
          <w:marBottom w:val="0"/>
          <w:divBdr>
            <w:top w:val="none" w:sz="0" w:space="0" w:color="auto"/>
            <w:left w:val="none" w:sz="0" w:space="0" w:color="auto"/>
            <w:bottom w:val="none" w:sz="0" w:space="0" w:color="auto"/>
            <w:right w:val="none" w:sz="0" w:space="0" w:color="auto"/>
          </w:divBdr>
        </w:div>
        <w:div w:id="569846549">
          <w:marLeft w:val="1699"/>
          <w:marRight w:val="0"/>
          <w:marTop w:val="60"/>
          <w:marBottom w:val="0"/>
          <w:divBdr>
            <w:top w:val="none" w:sz="0" w:space="0" w:color="auto"/>
            <w:left w:val="none" w:sz="0" w:space="0" w:color="auto"/>
            <w:bottom w:val="none" w:sz="0" w:space="0" w:color="auto"/>
            <w:right w:val="none" w:sz="0" w:space="0" w:color="auto"/>
          </w:divBdr>
        </w:div>
        <w:div w:id="781999234">
          <w:marLeft w:val="547"/>
          <w:marRight w:val="0"/>
          <w:marTop w:val="60"/>
          <w:marBottom w:val="0"/>
          <w:divBdr>
            <w:top w:val="none" w:sz="0" w:space="0" w:color="auto"/>
            <w:left w:val="none" w:sz="0" w:space="0" w:color="auto"/>
            <w:bottom w:val="none" w:sz="0" w:space="0" w:color="auto"/>
            <w:right w:val="none" w:sz="0" w:space="0" w:color="auto"/>
          </w:divBdr>
        </w:div>
        <w:div w:id="893353615">
          <w:marLeft w:val="2261"/>
          <w:marRight w:val="0"/>
          <w:marTop w:val="60"/>
          <w:marBottom w:val="0"/>
          <w:divBdr>
            <w:top w:val="none" w:sz="0" w:space="0" w:color="auto"/>
            <w:left w:val="none" w:sz="0" w:space="0" w:color="auto"/>
            <w:bottom w:val="none" w:sz="0" w:space="0" w:color="auto"/>
            <w:right w:val="none" w:sz="0" w:space="0" w:color="auto"/>
          </w:divBdr>
        </w:div>
        <w:div w:id="1037851629">
          <w:marLeft w:val="1123"/>
          <w:marRight w:val="0"/>
          <w:marTop w:val="60"/>
          <w:marBottom w:val="0"/>
          <w:divBdr>
            <w:top w:val="none" w:sz="0" w:space="0" w:color="auto"/>
            <w:left w:val="none" w:sz="0" w:space="0" w:color="auto"/>
            <w:bottom w:val="none" w:sz="0" w:space="0" w:color="auto"/>
            <w:right w:val="none" w:sz="0" w:space="0" w:color="auto"/>
          </w:divBdr>
        </w:div>
        <w:div w:id="1050806936">
          <w:marLeft w:val="1699"/>
          <w:marRight w:val="0"/>
          <w:marTop w:val="60"/>
          <w:marBottom w:val="0"/>
          <w:divBdr>
            <w:top w:val="none" w:sz="0" w:space="0" w:color="auto"/>
            <w:left w:val="none" w:sz="0" w:space="0" w:color="auto"/>
            <w:bottom w:val="none" w:sz="0" w:space="0" w:color="auto"/>
            <w:right w:val="none" w:sz="0" w:space="0" w:color="auto"/>
          </w:divBdr>
        </w:div>
        <w:div w:id="1182814834">
          <w:marLeft w:val="2261"/>
          <w:marRight w:val="0"/>
          <w:marTop w:val="60"/>
          <w:marBottom w:val="0"/>
          <w:divBdr>
            <w:top w:val="none" w:sz="0" w:space="0" w:color="auto"/>
            <w:left w:val="none" w:sz="0" w:space="0" w:color="auto"/>
            <w:bottom w:val="none" w:sz="0" w:space="0" w:color="auto"/>
            <w:right w:val="none" w:sz="0" w:space="0" w:color="auto"/>
          </w:divBdr>
        </w:div>
        <w:div w:id="1664771299">
          <w:marLeft w:val="1699"/>
          <w:marRight w:val="0"/>
          <w:marTop w:val="60"/>
          <w:marBottom w:val="0"/>
          <w:divBdr>
            <w:top w:val="none" w:sz="0" w:space="0" w:color="auto"/>
            <w:left w:val="none" w:sz="0" w:space="0" w:color="auto"/>
            <w:bottom w:val="none" w:sz="0" w:space="0" w:color="auto"/>
            <w:right w:val="none" w:sz="0" w:space="0" w:color="auto"/>
          </w:divBdr>
        </w:div>
        <w:div w:id="1832216383">
          <w:marLeft w:val="1699"/>
          <w:marRight w:val="0"/>
          <w:marTop w:val="60"/>
          <w:marBottom w:val="0"/>
          <w:divBdr>
            <w:top w:val="none" w:sz="0" w:space="0" w:color="auto"/>
            <w:left w:val="none" w:sz="0" w:space="0" w:color="auto"/>
            <w:bottom w:val="none" w:sz="0" w:space="0" w:color="auto"/>
            <w:right w:val="none" w:sz="0" w:space="0" w:color="auto"/>
          </w:divBdr>
        </w:div>
        <w:div w:id="1868175922">
          <w:marLeft w:val="1123"/>
          <w:marRight w:val="0"/>
          <w:marTop w:val="60"/>
          <w:marBottom w:val="0"/>
          <w:divBdr>
            <w:top w:val="none" w:sz="0" w:space="0" w:color="auto"/>
            <w:left w:val="none" w:sz="0" w:space="0" w:color="auto"/>
            <w:bottom w:val="none" w:sz="0" w:space="0" w:color="auto"/>
            <w:right w:val="none" w:sz="0" w:space="0" w:color="auto"/>
          </w:divBdr>
        </w:div>
        <w:div w:id="1955135615">
          <w:marLeft w:val="1123"/>
          <w:marRight w:val="0"/>
          <w:marTop w:val="60"/>
          <w:marBottom w:val="0"/>
          <w:divBdr>
            <w:top w:val="none" w:sz="0" w:space="0" w:color="auto"/>
            <w:left w:val="none" w:sz="0" w:space="0" w:color="auto"/>
            <w:bottom w:val="none" w:sz="0" w:space="0" w:color="auto"/>
            <w:right w:val="none" w:sz="0" w:space="0" w:color="auto"/>
          </w:divBdr>
        </w:div>
        <w:div w:id="2017922181">
          <w:marLeft w:val="1123"/>
          <w:marRight w:val="0"/>
          <w:marTop w:val="60"/>
          <w:marBottom w:val="0"/>
          <w:divBdr>
            <w:top w:val="none" w:sz="0" w:space="0" w:color="auto"/>
            <w:left w:val="none" w:sz="0" w:space="0" w:color="auto"/>
            <w:bottom w:val="none" w:sz="0" w:space="0" w:color="auto"/>
            <w:right w:val="none" w:sz="0" w:space="0" w:color="auto"/>
          </w:divBdr>
        </w:div>
        <w:div w:id="203129592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7888A-2069-4A60-9C21-1126C2D3AA6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57008B3-F9D4-47D7-A790-EB2C9069E136}">
  <ds:schemaRefs>
    <ds:schemaRef ds:uri="http://schemas.microsoft.com/sharepoint/v3/contenttype/forms"/>
  </ds:schemaRefs>
</ds:datastoreItem>
</file>

<file path=customXml/itemProps3.xml><?xml version="1.0" encoding="utf-8"?>
<ds:datastoreItem xmlns:ds="http://schemas.openxmlformats.org/officeDocument/2006/customXml" ds:itemID="{6E869B04-6109-4A8A-8BF0-AED820312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8FF88-5D8C-4E7F-93BA-52598F82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9137</Words>
  <Characters>50179</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59198</CharactersWithSpaces>
  <SharedDoc>false</SharedDoc>
  <HLinks>
    <vt:vector size="606" baseType="variant">
      <vt:variant>
        <vt:i4>1179706</vt:i4>
      </vt:variant>
      <vt:variant>
        <vt:i4>401</vt:i4>
      </vt:variant>
      <vt:variant>
        <vt:i4>0</vt:i4>
      </vt:variant>
      <vt:variant>
        <vt:i4>5</vt:i4>
      </vt:variant>
      <vt:variant>
        <vt:lpwstr/>
      </vt:variant>
      <vt:variant>
        <vt:lpwstr>_Toc86832787</vt:lpwstr>
      </vt:variant>
      <vt:variant>
        <vt:i4>1245242</vt:i4>
      </vt:variant>
      <vt:variant>
        <vt:i4>398</vt:i4>
      </vt:variant>
      <vt:variant>
        <vt:i4>0</vt:i4>
      </vt:variant>
      <vt:variant>
        <vt:i4>5</vt:i4>
      </vt:variant>
      <vt:variant>
        <vt:lpwstr/>
      </vt:variant>
      <vt:variant>
        <vt:lpwstr>_Toc86832786</vt:lpwstr>
      </vt:variant>
      <vt:variant>
        <vt:i4>1048634</vt:i4>
      </vt:variant>
      <vt:variant>
        <vt:i4>395</vt:i4>
      </vt:variant>
      <vt:variant>
        <vt:i4>0</vt:i4>
      </vt:variant>
      <vt:variant>
        <vt:i4>5</vt:i4>
      </vt:variant>
      <vt:variant>
        <vt:lpwstr/>
      </vt:variant>
      <vt:variant>
        <vt:lpwstr>_Toc86832785</vt:lpwstr>
      </vt:variant>
      <vt:variant>
        <vt:i4>1114170</vt:i4>
      </vt:variant>
      <vt:variant>
        <vt:i4>392</vt:i4>
      </vt:variant>
      <vt:variant>
        <vt:i4>0</vt:i4>
      </vt:variant>
      <vt:variant>
        <vt:i4>5</vt:i4>
      </vt:variant>
      <vt:variant>
        <vt:lpwstr/>
      </vt:variant>
      <vt:variant>
        <vt:lpwstr>_Toc86832784</vt:lpwstr>
      </vt:variant>
      <vt:variant>
        <vt:i4>1441850</vt:i4>
      </vt:variant>
      <vt:variant>
        <vt:i4>389</vt:i4>
      </vt:variant>
      <vt:variant>
        <vt:i4>0</vt:i4>
      </vt:variant>
      <vt:variant>
        <vt:i4>5</vt:i4>
      </vt:variant>
      <vt:variant>
        <vt:lpwstr/>
      </vt:variant>
      <vt:variant>
        <vt:lpwstr>_Toc86832783</vt:lpwstr>
      </vt:variant>
      <vt:variant>
        <vt:i4>1507386</vt:i4>
      </vt:variant>
      <vt:variant>
        <vt:i4>386</vt:i4>
      </vt:variant>
      <vt:variant>
        <vt:i4>0</vt:i4>
      </vt:variant>
      <vt:variant>
        <vt:i4>5</vt:i4>
      </vt:variant>
      <vt:variant>
        <vt:lpwstr/>
      </vt:variant>
      <vt:variant>
        <vt:lpwstr>_Toc86832782</vt:lpwstr>
      </vt:variant>
      <vt:variant>
        <vt:i4>1310778</vt:i4>
      </vt:variant>
      <vt:variant>
        <vt:i4>383</vt:i4>
      </vt:variant>
      <vt:variant>
        <vt:i4>0</vt:i4>
      </vt:variant>
      <vt:variant>
        <vt:i4>5</vt:i4>
      </vt:variant>
      <vt:variant>
        <vt:lpwstr/>
      </vt:variant>
      <vt:variant>
        <vt:lpwstr>_Toc86832781</vt:lpwstr>
      </vt:variant>
      <vt:variant>
        <vt:i4>1376314</vt:i4>
      </vt:variant>
      <vt:variant>
        <vt:i4>380</vt:i4>
      </vt:variant>
      <vt:variant>
        <vt:i4>0</vt:i4>
      </vt:variant>
      <vt:variant>
        <vt:i4>5</vt:i4>
      </vt:variant>
      <vt:variant>
        <vt:lpwstr/>
      </vt:variant>
      <vt:variant>
        <vt:lpwstr>_Toc86832780</vt:lpwstr>
      </vt:variant>
      <vt:variant>
        <vt:i4>1835061</vt:i4>
      </vt:variant>
      <vt:variant>
        <vt:i4>377</vt:i4>
      </vt:variant>
      <vt:variant>
        <vt:i4>0</vt:i4>
      </vt:variant>
      <vt:variant>
        <vt:i4>5</vt:i4>
      </vt:variant>
      <vt:variant>
        <vt:lpwstr/>
      </vt:variant>
      <vt:variant>
        <vt:lpwstr>_Toc86832779</vt:lpwstr>
      </vt:variant>
      <vt:variant>
        <vt:i4>1900597</vt:i4>
      </vt:variant>
      <vt:variant>
        <vt:i4>374</vt:i4>
      </vt:variant>
      <vt:variant>
        <vt:i4>0</vt:i4>
      </vt:variant>
      <vt:variant>
        <vt:i4>5</vt:i4>
      </vt:variant>
      <vt:variant>
        <vt:lpwstr/>
      </vt:variant>
      <vt:variant>
        <vt:lpwstr>_Toc86832778</vt:lpwstr>
      </vt:variant>
      <vt:variant>
        <vt:i4>1179701</vt:i4>
      </vt:variant>
      <vt:variant>
        <vt:i4>371</vt:i4>
      </vt:variant>
      <vt:variant>
        <vt:i4>0</vt:i4>
      </vt:variant>
      <vt:variant>
        <vt:i4>5</vt:i4>
      </vt:variant>
      <vt:variant>
        <vt:lpwstr/>
      </vt:variant>
      <vt:variant>
        <vt:lpwstr>_Toc86832777</vt:lpwstr>
      </vt:variant>
      <vt:variant>
        <vt:i4>1245237</vt:i4>
      </vt:variant>
      <vt:variant>
        <vt:i4>368</vt:i4>
      </vt:variant>
      <vt:variant>
        <vt:i4>0</vt:i4>
      </vt:variant>
      <vt:variant>
        <vt:i4>5</vt:i4>
      </vt:variant>
      <vt:variant>
        <vt:lpwstr/>
      </vt:variant>
      <vt:variant>
        <vt:lpwstr>_Toc86832776</vt:lpwstr>
      </vt:variant>
      <vt:variant>
        <vt:i4>1048629</vt:i4>
      </vt:variant>
      <vt:variant>
        <vt:i4>365</vt:i4>
      </vt:variant>
      <vt:variant>
        <vt:i4>0</vt:i4>
      </vt:variant>
      <vt:variant>
        <vt:i4>5</vt:i4>
      </vt:variant>
      <vt:variant>
        <vt:lpwstr/>
      </vt:variant>
      <vt:variant>
        <vt:lpwstr>_Toc86832775</vt:lpwstr>
      </vt:variant>
      <vt:variant>
        <vt:i4>1114165</vt:i4>
      </vt:variant>
      <vt:variant>
        <vt:i4>362</vt:i4>
      </vt:variant>
      <vt:variant>
        <vt:i4>0</vt:i4>
      </vt:variant>
      <vt:variant>
        <vt:i4>5</vt:i4>
      </vt:variant>
      <vt:variant>
        <vt:lpwstr/>
      </vt:variant>
      <vt:variant>
        <vt:lpwstr>_Toc86832774</vt:lpwstr>
      </vt:variant>
      <vt:variant>
        <vt:i4>1441845</vt:i4>
      </vt:variant>
      <vt:variant>
        <vt:i4>359</vt:i4>
      </vt:variant>
      <vt:variant>
        <vt:i4>0</vt:i4>
      </vt:variant>
      <vt:variant>
        <vt:i4>5</vt:i4>
      </vt:variant>
      <vt:variant>
        <vt:lpwstr/>
      </vt:variant>
      <vt:variant>
        <vt:lpwstr>_Toc86832773</vt:lpwstr>
      </vt:variant>
      <vt:variant>
        <vt:i4>1507381</vt:i4>
      </vt:variant>
      <vt:variant>
        <vt:i4>356</vt:i4>
      </vt:variant>
      <vt:variant>
        <vt:i4>0</vt:i4>
      </vt:variant>
      <vt:variant>
        <vt:i4>5</vt:i4>
      </vt:variant>
      <vt:variant>
        <vt:lpwstr/>
      </vt:variant>
      <vt:variant>
        <vt:lpwstr>_Toc86832772</vt:lpwstr>
      </vt:variant>
      <vt:variant>
        <vt:i4>1310773</vt:i4>
      </vt:variant>
      <vt:variant>
        <vt:i4>353</vt:i4>
      </vt:variant>
      <vt:variant>
        <vt:i4>0</vt:i4>
      </vt:variant>
      <vt:variant>
        <vt:i4>5</vt:i4>
      </vt:variant>
      <vt:variant>
        <vt:lpwstr/>
      </vt:variant>
      <vt:variant>
        <vt:lpwstr>_Toc86832771</vt:lpwstr>
      </vt:variant>
      <vt:variant>
        <vt:i4>1376309</vt:i4>
      </vt:variant>
      <vt:variant>
        <vt:i4>350</vt:i4>
      </vt:variant>
      <vt:variant>
        <vt:i4>0</vt:i4>
      </vt:variant>
      <vt:variant>
        <vt:i4>5</vt:i4>
      </vt:variant>
      <vt:variant>
        <vt:lpwstr/>
      </vt:variant>
      <vt:variant>
        <vt:lpwstr>_Toc86832770</vt:lpwstr>
      </vt:variant>
      <vt:variant>
        <vt:i4>1835060</vt:i4>
      </vt:variant>
      <vt:variant>
        <vt:i4>347</vt:i4>
      </vt:variant>
      <vt:variant>
        <vt:i4>0</vt:i4>
      </vt:variant>
      <vt:variant>
        <vt:i4>5</vt:i4>
      </vt:variant>
      <vt:variant>
        <vt:lpwstr/>
      </vt:variant>
      <vt:variant>
        <vt:lpwstr>_Toc86832769</vt:lpwstr>
      </vt:variant>
      <vt:variant>
        <vt:i4>1900596</vt:i4>
      </vt:variant>
      <vt:variant>
        <vt:i4>344</vt:i4>
      </vt:variant>
      <vt:variant>
        <vt:i4>0</vt:i4>
      </vt:variant>
      <vt:variant>
        <vt:i4>5</vt:i4>
      </vt:variant>
      <vt:variant>
        <vt:lpwstr/>
      </vt:variant>
      <vt:variant>
        <vt:lpwstr>_Toc86832768</vt:lpwstr>
      </vt:variant>
      <vt:variant>
        <vt:i4>1179700</vt:i4>
      </vt:variant>
      <vt:variant>
        <vt:i4>341</vt:i4>
      </vt:variant>
      <vt:variant>
        <vt:i4>0</vt:i4>
      </vt:variant>
      <vt:variant>
        <vt:i4>5</vt:i4>
      </vt:variant>
      <vt:variant>
        <vt:lpwstr/>
      </vt:variant>
      <vt:variant>
        <vt:lpwstr>_Toc86832767</vt:lpwstr>
      </vt:variant>
      <vt:variant>
        <vt:i4>1245236</vt:i4>
      </vt:variant>
      <vt:variant>
        <vt:i4>338</vt:i4>
      </vt:variant>
      <vt:variant>
        <vt:i4>0</vt:i4>
      </vt:variant>
      <vt:variant>
        <vt:i4>5</vt:i4>
      </vt:variant>
      <vt:variant>
        <vt:lpwstr/>
      </vt:variant>
      <vt:variant>
        <vt:lpwstr>_Toc86832766</vt:lpwstr>
      </vt:variant>
      <vt:variant>
        <vt:i4>1048628</vt:i4>
      </vt:variant>
      <vt:variant>
        <vt:i4>335</vt:i4>
      </vt:variant>
      <vt:variant>
        <vt:i4>0</vt:i4>
      </vt:variant>
      <vt:variant>
        <vt:i4>5</vt:i4>
      </vt:variant>
      <vt:variant>
        <vt:lpwstr/>
      </vt:variant>
      <vt:variant>
        <vt:lpwstr>_Toc86832765</vt:lpwstr>
      </vt:variant>
      <vt:variant>
        <vt:i4>1114164</vt:i4>
      </vt:variant>
      <vt:variant>
        <vt:i4>332</vt:i4>
      </vt:variant>
      <vt:variant>
        <vt:i4>0</vt:i4>
      </vt:variant>
      <vt:variant>
        <vt:i4>5</vt:i4>
      </vt:variant>
      <vt:variant>
        <vt:lpwstr/>
      </vt:variant>
      <vt:variant>
        <vt:lpwstr>_Toc86832764</vt:lpwstr>
      </vt:variant>
      <vt:variant>
        <vt:i4>1441844</vt:i4>
      </vt:variant>
      <vt:variant>
        <vt:i4>329</vt:i4>
      </vt:variant>
      <vt:variant>
        <vt:i4>0</vt:i4>
      </vt:variant>
      <vt:variant>
        <vt:i4>5</vt:i4>
      </vt:variant>
      <vt:variant>
        <vt:lpwstr/>
      </vt:variant>
      <vt:variant>
        <vt:lpwstr>_Toc86832763</vt:lpwstr>
      </vt:variant>
      <vt:variant>
        <vt:i4>1507380</vt:i4>
      </vt:variant>
      <vt:variant>
        <vt:i4>326</vt:i4>
      </vt:variant>
      <vt:variant>
        <vt:i4>0</vt:i4>
      </vt:variant>
      <vt:variant>
        <vt:i4>5</vt:i4>
      </vt:variant>
      <vt:variant>
        <vt:lpwstr/>
      </vt:variant>
      <vt:variant>
        <vt:lpwstr>_Toc86832762</vt:lpwstr>
      </vt:variant>
      <vt:variant>
        <vt:i4>1310772</vt:i4>
      </vt:variant>
      <vt:variant>
        <vt:i4>323</vt:i4>
      </vt:variant>
      <vt:variant>
        <vt:i4>0</vt:i4>
      </vt:variant>
      <vt:variant>
        <vt:i4>5</vt:i4>
      </vt:variant>
      <vt:variant>
        <vt:lpwstr/>
      </vt:variant>
      <vt:variant>
        <vt:lpwstr>_Toc86832761</vt:lpwstr>
      </vt:variant>
      <vt:variant>
        <vt:i4>1376308</vt:i4>
      </vt:variant>
      <vt:variant>
        <vt:i4>320</vt:i4>
      </vt:variant>
      <vt:variant>
        <vt:i4>0</vt:i4>
      </vt:variant>
      <vt:variant>
        <vt:i4>5</vt:i4>
      </vt:variant>
      <vt:variant>
        <vt:lpwstr/>
      </vt:variant>
      <vt:variant>
        <vt:lpwstr>_Toc86832760</vt:lpwstr>
      </vt:variant>
      <vt:variant>
        <vt:i4>1835063</vt:i4>
      </vt:variant>
      <vt:variant>
        <vt:i4>317</vt:i4>
      </vt:variant>
      <vt:variant>
        <vt:i4>0</vt:i4>
      </vt:variant>
      <vt:variant>
        <vt:i4>5</vt:i4>
      </vt:variant>
      <vt:variant>
        <vt:lpwstr/>
      </vt:variant>
      <vt:variant>
        <vt:lpwstr>_Toc86832759</vt:lpwstr>
      </vt:variant>
      <vt:variant>
        <vt:i4>1900599</vt:i4>
      </vt:variant>
      <vt:variant>
        <vt:i4>314</vt:i4>
      </vt:variant>
      <vt:variant>
        <vt:i4>0</vt:i4>
      </vt:variant>
      <vt:variant>
        <vt:i4>5</vt:i4>
      </vt:variant>
      <vt:variant>
        <vt:lpwstr/>
      </vt:variant>
      <vt:variant>
        <vt:lpwstr>_Toc86832758</vt:lpwstr>
      </vt:variant>
      <vt:variant>
        <vt:i4>1179703</vt:i4>
      </vt:variant>
      <vt:variant>
        <vt:i4>311</vt:i4>
      </vt:variant>
      <vt:variant>
        <vt:i4>0</vt:i4>
      </vt:variant>
      <vt:variant>
        <vt:i4>5</vt:i4>
      </vt:variant>
      <vt:variant>
        <vt:lpwstr/>
      </vt:variant>
      <vt:variant>
        <vt:lpwstr>_Toc86832757</vt:lpwstr>
      </vt:variant>
      <vt:variant>
        <vt:i4>1245239</vt:i4>
      </vt:variant>
      <vt:variant>
        <vt:i4>308</vt:i4>
      </vt:variant>
      <vt:variant>
        <vt:i4>0</vt:i4>
      </vt:variant>
      <vt:variant>
        <vt:i4>5</vt:i4>
      </vt:variant>
      <vt:variant>
        <vt:lpwstr/>
      </vt:variant>
      <vt:variant>
        <vt:lpwstr>_Toc86832756</vt:lpwstr>
      </vt:variant>
      <vt:variant>
        <vt:i4>1048631</vt:i4>
      </vt:variant>
      <vt:variant>
        <vt:i4>305</vt:i4>
      </vt:variant>
      <vt:variant>
        <vt:i4>0</vt:i4>
      </vt:variant>
      <vt:variant>
        <vt:i4>5</vt:i4>
      </vt:variant>
      <vt:variant>
        <vt:lpwstr/>
      </vt:variant>
      <vt:variant>
        <vt:lpwstr>_Toc86832755</vt:lpwstr>
      </vt:variant>
      <vt:variant>
        <vt:i4>1114167</vt:i4>
      </vt:variant>
      <vt:variant>
        <vt:i4>302</vt:i4>
      </vt:variant>
      <vt:variant>
        <vt:i4>0</vt:i4>
      </vt:variant>
      <vt:variant>
        <vt:i4>5</vt:i4>
      </vt:variant>
      <vt:variant>
        <vt:lpwstr/>
      </vt:variant>
      <vt:variant>
        <vt:lpwstr>_Toc86832754</vt:lpwstr>
      </vt:variant>
      <vt:variant>
        <vt:i4>1441847</vt:i4>
      </vt:variant>
      <vt:variant>
        <vt:i4>299</vt:i4>
      </vt:variant>
      <vt:variant>
        <vt:i4>0</vt:i4>
      </vt:variant>
      <vt:variant>
        <vt:i4>5</vt:i4>
      </vt:variant>
      <vt:variant>
        <vt:lpwstr/>
      </vt:variant>
      <vt:variant>
        <vt:lpwstr>_Toc86832753</vt:lpwstr>
      </vt:variant>
      <vt:variant>
        <vt:i4>1507383</vt:i4>
      </vt:variant>
      <vt:variant>
        <vt:i4>296</vt:i4>
      </vt:variant>
      <vt:variant>
        <vt:i4>0</vt:i4>
      </vt:variant>
      <vt:variant>
        <vt:i4>5</vt:i4>
      </vt:variant>
      <vt:variant>
        <vt:lpwstr/>
      </vt:variant>
      <vt:variant>
        <vt:lpwstr>_Toc86832752</vt:lpwstr>
      </vt:variant>
      <vt:variant>
        <vt:i4>1310775</vt:i4>
      </vt:variant>
      <vt:variant>
        <vt:i4>293</vt:i4>
      </vt:variant>
      <vt:variant>
        <vt:i4>0</vt:i4>
      </vt:variant>
      <vt:variant>
        <vt:i4>5</vt:i4>
      </vt:variant>
      <vt:variant>
        <vt:lpwstr/>
      </vt:variant>
      <vt:variant>
        <vt:lpwstr>_Toc86832751</vt:lpwstr>
      </vt:variant>
      <vt:variant>
        <vt:i4>1376311</vt:i4>
      </vt:variant>
      <vt:variant>
        <vt:i4>290</vt:i4>
      </vt:variant>
      <vt:variant>
        <vt:i4>0</vt:i4>
      </vt:variant>
      <vt:variant>
        <vt:i4>5</vt:i4>
      </vt:variant>
      <vt:variant>
        <vt:lpwstr/>
      </vt:variant>
      <vt:variant>
        <vt:lpwstr>_Toc86832750</vt:lpwstr>
      </vt:variant>
      <vt:variant>
        <vt:i4>1835062</vt:i4>
      </vt:variant>
      <vt:variant>
        <vt:i4>287</vt:i4>
      </vt:variant>
      <vt:variant>
        <vt:i4>0</vt:i4>
      </vt:variant>
      <vt:variant>
        <vt:i4>5</vt:i4>
      </vt:variant>
      <vt:variant>
        <vt:lpwstr/>
      </vt:variant>
      <vt:variant>
        <vt:lpwstr>_Toc86832749</vt:lpwstr>
      </vt:variant>
      <vt:variant>
        <vt:i4>1900598</vt:i4>
      </vt:variant>
      <vt:variant>
        <vt:i4>284</vt:i4>
      </vt:variant>
      <vt:variant>
        <vt:i4>0</vt:i4>
      </vt:variant>
      <vt:variant>
        <vt:i4>5</vt:i4>
      </vt:variant>
      <vt:variant>
        <vt:lpwstr/>
      </vt:variant>
      <vt:variant>
        <vt:lpwstr>_Toc86832748</vt:lpwstr>
      </vt:variant>
      <vt:variant>
        <vt:i4>1179702</vt:i4>
      </vt:variant>
      <vt:variant>
        <vt:i4>281</vt:i4>
      </vt:variant>
      <vt:variant>
        <vt:i4>0</vt:i4>
      </vt:variant>
      <vt:variant>
        <vt:i4>5</vt:i4>
      </vt:variant>
      <vt:variant>
        <vt:lpwstr/>
      </vt:variant>
      <vt:variant>
        <vt:lpwstr>_Toc86832747</vt:lpwstr>
      </vt:variant>
      <vt:variant>
        <vt:i4>1245238</vt:i4>
      </vt:variant>
      <vt:variant>
        <vt:i4>278</vt:i4>
      </vt:variant>
      <vt:variant>
        <vt:i4>0</vt:i4>
      </vt:variant>
      <vt:variant>
        <vt:i4>5</vt:i4>
      </vt:variant>
      <vt:variant>
        <vt:lpwstr/>
      </vt:variant>
      <vt:variant>
        <vt:lpwstr>_Toc86832746</vt:lpwstr>
      </vt:variant>
      <vt:variant>
        <vt:i4>1048630</vt:i4>
      </vt:variant>
      <vt:variant>
        <vt:i4>275</vt:i4>
      </vt:variant>
      <vt:variant>
        <vt:i4>0</vt:i4>
      </vt:variant>
      <vt:variant>
        <vt:i4>5</vt:i4>
      </vt:variant>
      <vt:variant>
        <vt:lpwstr/>
      </vt:variant>
      <vt:variant>
        <vt:lpwstr>_Toc86832745</vt:lpwstr>
      </vt:variant>
      <vt:variant>
        <vt:i4>1114166</vt:i4>
      </vt:variant>
      <vt:variant>
        <vt:i4>272</vt:i4>
      </vt:variant>
      <vt:variant>
        <vt:i4>0</vt:i4>
      </vt:variant>
      <vt:variant>
        <vt:i4>5</vt:i4>
      </vt:variant>
      <vt:variant>
        <vt:lpwstr/>
      </vt:variant>
      <vt:variant>
        <vt:lpwstr>_Toc86832744</vt:lpwstr>
      </vt:variant>
      <vt:variant>
        <vt:i4>1441846</vt:i4>
      </vt:variant>
      <vt:variant>
        <vt:i4>269</vt:i4>
      </vt:variant>
      <vt:variant>
        <vt:i4>0</vt:i4>
      </vt:variant>
      <vt:variant>
        <vt:i4>5</vt:i4>
      </vt:variant>
      <vt:variant>
        <vt:lpwstr/>
      </vt:variant>
      <vt:variant>
        <vt:lpwstr>_Toc86832743</vt:lpwstr>
      </vt:variant>
      <vt:variant>
        <vt:i4>1507382</vt:i4>
      </vt:variant>
      <vt:variant>
        <vt:i4>266</vt:i4>
      </vt:variant>
      <vt:variant>
        <vt:i4>0</vt:i4>
      </vt:variant>
      <vt:variant>
        <vt:i4>5</vt:i4>
      </vt:variant>
      <vt:variant>
        <vt:lpwstr/>
      </vt:variant>
      <vt:variant>
        <vt:lpwstr>_Toc86832742</vt:lpwstr>
      </vt:variant>
      <vt:variant>
        <vt:i4>1310774</vt:i4>
      </vt:variant>
      <vt:variant>
        <vt:i4>263</vt:i4>
      </vt:variant>
      <vt:variant>
        <vt:i4>0</vt:i4>
      </vt:variant>
      <vt:variant>
        <vt:i4>5</vt:i4>
      </vt:variant>
      <vt:variant>
        <vt:lpwstr/>
      </vt:variant>
      <vt:variant>
        <vt:lpwstr>_Toc86832741</vt:lpwstr>
      </vt:variant>
      <vt:variant>
        <vt:i4>1114166</vt:i4>
      </vt:variant>
      <vt:variant>
        <vt:i4>257</vt:i4>
      </vt:variant>
      <vt:variant>
        <vt:i4>0</vt:i4>
      </vt:variant>
      <vt:variant>
        <vt:i4>5</vt:i4>
      </vt:variant>
      <vt:variant>
        <vt:lpwstr/>
      </vt:variant>
      <vt:variant>
        <vt:lpwstr>_Toc86947602</vt:lpwstr>
      </vt:variant>
      <vt:variant>
        <vt:i4>1179702</vt:i4>
      </vt:variant>
      <vt:variant>
        <vt:i4>254</vt:i4>
      </vt:variant>
      <vt:variant>
        <vt:i4>0</vt:i4>
      </vt:variant>
      <vt:variant>
        <vt:i4>5</vt:i4>
      </vt:variant>
      <vt:variant>
        <vt:lpwstr/>
      </vt:variant>
      <vt:variant>
        <vt:lpwstr>_Toc86947601</vt:lpwstr>
      </vt:variant>
      <vt:variant>
        <vt:i4>1245238</vt:i4>
      </vt:variant>
      <vt:variant>
        <vt:i4>251</vt:i4>
      </vt:variant>
      <vt:variant>
        <vt:i4>0</vt:i4>
      </vt:variant>
      <vt:variant>
        <vt:i4>5</vt:i4>
      </vt:variant>
      <vt:variant>
        <vt:lpwstr/>
      </vt:variant>
      <vt:variant>
        <vt:lpwstr>_Toc86947600</vt:lpwstr>
      </vt:variant>
      <vt:variant>
        <vt:i4>1638463</vt:i4>
      </vt:variant>
      <vt:variant>
        <vt:i4>248</vt:i4>
      </vt:variant>
      <vt:variant>
        <vt:i4>0</vt:i4>
      </vt:variant>
      <vt:variant>
        <vt:i4>5</vt:i4>
      </vt:variant>
      <vt:variant>
        <vt:lpwstr/>
      </vt:variant>
      <vt:variant>
        <vt:lpwstr>_Toc86947599</vt:lpwstr>
      </vt:variant>
      <vt:variant>
        <vt:i4>1572927</vt:i4>
      </vt:variant>
      <vt:variant>
        <vt:i4>245</vt:i4>
      </vt:variant>
      <vt:variant>
        <vt:i4>0</vt:i4>
      </vt:variant>
      <vt:variant>
        <vt:i4>5</vt:i4>
      </vt:variant>
      <vt:variant>
        <vt:lpwstr/>
      </vt:variant>
      <vt:variant>
        <vt:lpwstr>_Toc86947598</vt:lpwstr>
      </vt:variant>
      <vt:variant>
        <vt:i4>1507391</vt:i4>
      </vt:variant>
      <vt:variant>
        <vt:i4>242</vt:i4>
      </vt:variant>
      <vt:variant>
        <vt:i4>0</vt:i4>
      </vt:variant>
      <vt:variant>
        <vt:i4>5</vt:i4>
      </vt:variant>
      <vt:variant>
        <vt:lpwstr/>
      </vt:variant>
      <vt:variant>
        <vt:lpwstr>_Toc86947597</vt:lpwstr>
      </vt:variant>
      <vt:variant>
        <vt:i4>1441855</vt:i4>
      </vt:variant>
      <vt:variant>
        <vt:i4>239</vt:i4>
      </vt:variant>
      <vt:variant>
        <vt:i4>0</vt:i4>
      </vt:variant>
      <vt:variant>
        <vt:i4>5</vt:i4>
      </vt:variant>
      <vt:variant>
        <vt:lpwstr/>
      </vt:variant>
      <vt:variant>
        <vt:lpwstr>_Toc86947596</vt:lpwstr>
      </vt:variant>
      <vt:variant>
        <vt:i4>1376319</vt:i4>
      </vt:variant>
      <vt:variant>
        <vt:i4>236</vt:i4>
      </vt:variant>
      <vt:variant>
        <vt:i4>0</vt:i4>
      </vt:variant>
      <vt:variant>
        <vt:i4>5</vt:i4>
      </vt:variant>
      <vt:variant>
        <vt:lpwstr/>
      </vt:variant>
      <vt:variant>
        <vt:lpwstr>_Toc86947595</vt:lpwstr>
      </vt:variant>
      <vt:variant>
        <vt:i4>1310783</vt:i4>
      </vt:variant>
      <vt:variant>
        <vt:i4>233</vt:i4>
      </vt:variant>
      <vt:variant>
        <vt:i4>0</vt:i4>
      </vt:variant>
      <vt:variant>
        <vt:i4>5</vt:i4>
      </vt:variant>
      <vt:variant>
        <vt:lpwstr/>
      </vt:variant>
      <vt:variant>
        <vt:lpwstr>_Toc86947594</vt:lpwstr>
      </vt:variant>
      <vt:variant>
        <vt:i4>1245247</vt:i4>
      </vt:variant>
      <vt:variant>
        <vt:i4>230</vt:i4>
      </vt:variant>
      <vt:variant>
        <vt:i4>0</vt:i4>
      </vt:variant>
      <vt:variant>
        <vt:i4>5</vt:i4>
      </vt:variant>
      <vt:variant>
        <vt:lpwstr/>
      </vt:variant>
      <vt:variant>
        <vt:lpwstr>_Toc86947593</vt:lpwstr>
      </vt:variant>
      <vt:variant>
        <vt:i4>1179711</vt:i4>
      </vt:variant>
      <vt:variant>
        <vt:i4>227</vt:i4>
      </vt:variant>
      <vt:variant>
        <vt:i4>0</vt:i4>
      </vt:variant>
      <vt:variant>
        <vt:i4>5</vt:i4>
      </vt:variant>
      <vt:variant>
        <vt:lpwstr/>
      </vt:variant>
      <vt:variant>
        <vt:lpwstr>_Toc86947592</vt:lpwstr>
      </vt:variant>
      <vt:variant>
        <vt:i4>1114175</vt:i4>
      </vt:variant>
      <vt:variant>
        <vt:i4>224</vt:i4>
      </vt:variant>
      <vt:variant>
        <vt:i4>0</vt:i4>
      </vt:variant>
      <vt:variant>
        <vt:i4>5</vt:i4>
      </vt:variant>
      <vt:variant>
        <vt:lpwstr/>
      </vt:variant>
      <vt:variant>
        <vt:lpwstr>_Toc86947591</vt:lpwstr>
      </vt:variant>
      <vt:variant>
        <vt:i4>1048639</vt:i4>
      </vt:variant>
      <vt:variant>
        <vt:i4>221</vt:i4>
      </vt:variant>
      <vt:variant>
        <vt:i4>0</vt:i4>
      </vt:variant>
      <vt:variant>
        <vt:i4>5</vt:i4>
      </vt:variant>
      <vt:variant>
        <vt:lpwstr/>
      </vt:variant>
      <vt:variant>
        <vt:lpwstr>_Toc86947590</vt:lpwstr>
      </vt:variant>
      <vt:variant>
        <vt:i4>1638462</vt:i4>
      </vt:variant>
      <vt:variant>
        <vt:i4>218</vt:i4>
      </vt:variant>
      <vt:variant>
        <vt:i4>0</vt:i4>
      </vt:variant>
      <vt:variant>
        <vt:i4>5</vt:i4>
      </vt:variant>
      <vt:variant>
        <vt:lpwstr/>
      </vt:variant>
      <vt:variant>
        <vt:lpwstr>_Toc86947589</vt:lpwstr>
      </vt:variant>
      <vt:variant>
        <vt:i4>1572926</vt:i4>
      </vt:variant>
      <vt:variant>
        <vt:i4>215</vt:i4>
      </vt:variant>
      <vt:variant>
        <vt:i4>0</vt:i4>
      </vt:variant>
      <vt:variant>
        <vt:i4>5</vt:i4>
      </vt:variant>
      <vt:variant>
        <vt:lpwstr/>
      </vt:variant>
      <vt:variant>
        <vt:lpwstr>_Toc86947588</vt:lpwstr>
      </vt:variant>
      <vt:variant>
        <vt:i4>1507390</vt:i4>
      </vt:variant>
      <vt:variant>
        <vt:i4>212</vt:i4>
      </vt:variant>
      <vt:variant>
        <vt:i4>0</vt:i4>
      </vt:variant>
      <vt:variant>
        <vt:i4>5</vt:i4>
      </vt:variant>
      <vt:variant>
        <vt:lpwstr/>
      </vt:variant>
      <vt:variant>
        <vt:lpwstr>_Toc86947587</vt:lpwstr>
      </vt:variant>
      <vt:variant>
        <vt:i4>1441854</vt:i4>
      </vt:variant>
      <vt:variant>
        <vt:i4>209</vt:i4>
      </vt:variant>
      <vt:variant>
        <vt:i4>0</vt:i4>
      </vt:variant>
      <vt:variant>
        <vt:i4>5</vt:i4>
      </vt:variant>
      <vt:variant>
        <vt:lpwstr/>
      </vt:variant>
      <vt:variant>
        <vt:lpwstr>_Toc86947586</vt:lpwstr>
      </vt:variant>
      <vt:variant>
        <vt:i4>1376318</vt:i4>
      </vt:variant>
      <vt:variant>
        <vt:i4>206</vt:i4>
      </vt:variant>
      <vt:variant>
        <vt:i4>0</vt:i4>
      </vt:variant>
      <vt:variant>
        <vt:i4>5</vt:i4>
      </vt:variant>
      <vt:variant>
        <vt:lpwstr/>
      </vt:variant>
      <vt:variant>
        <vt:lpwstr>_Toc86947585</vt:lpwstr>
      </vt:variant>
      <vt:variant>
        <vt:i4>1310782</vt:i4>
      </vt:variant>
      <vt:variant>
        <vt:i4>203</vt:i4>
      </vt:variant>
      <vt:variant>
        <vt:i4>0</vt:i4>
      </vt:variant>
      <vt:variant>
        <vt:i4>5</vt:i4>
      </vt:variant>
      <vt:variant>
        <vt:lpwstr/>
      </vt:variant>
      <vt:variant>
        <vt:lpwstr>_Toc86947584</vt:lpwstr>
      </vt:variant>
      <vt:variant>
        <vt:i4>1245246</vt:i4>
      </vt:variant>
      <vt:variant>
        <vt:i4>200</vt:i4>
      </vt:variant>
      <vt:variant>
        <vt:i4>0</vt:i4>
      </vt:variant>
      <vt:variant>
        <vt:i4>5</vt:i4>
      </vt:variant>
      <vt:variant>
        <vt:lpwstr/>
      </vt:variant>
      <vt:variant>
        <vt:lpwstr>_Toc86947583</vt:lpwstr>
      </vt:variant>
      <vt:variant>
        <vt:i4>1179710</vt:i4>
      </vt:variant>
      <vt:variant>
        <vt:i4>197</vt:i4>
      </vt:variant>
      <vt:variant>
        <vt:i4>0</vt:i4>
      </vt:variant>
      <vt:variant>
        <vt:i4>5</vt:i4>
      </vt:variant>
      <vt:variant>
        <vt:lpwstr/>
      </vt:variant>
      <vt:variant>
        <vt:lpwstr>_Toc86947582</vt:lpwstr>
      </vt:variant>
      <vt:variant>
        <vt:i4>1114174</vt:i4>
      </vt:variant>
      <vt:variant>
        <vt:i4>194</vt:i4>
      </vt:variant>
      <vt:variant>
        <vt:i4>0</vt:i4>
      </vt:variant>
      <vt:variant>
        <vt:i4>5</vt:i4>
      </vt:variant>
      <vt:variant>
        <vt:lpwstr/>
      </vt:variant>
      <vt:variant>
        <vt:lpwstr>_Toc86947581</vt:lpwstr>
      </vt:variant>
      <vt:variant>
        <vt:i4>1048638</vt:i4>
      </vt:variant>
      <vt:variant>
        <vt:i4>191</vt:i4>
      </vt:variant>
      <vt:variant>
        <vt:i4>0</vt:i4>
      </vt:variant>
      <vt:variant>
        <vt:i4>5</vt:i4>
      </vt:variant>
      <vt:variant>
        <vt:lpwstr/>
      </vt:variant>
      <vt:variant>
        <vt:lpwstr>_Toc86947580</vt:lpwstr>
      </vt:variant>
      <vt:variant>
        <vt:i4>1638449</vt:i4>
      </vt:variant>
      <vt:variant>
        <vt:i4>188</vt:i4>
      </vt:variant>
      <vt:variant>
        <vt:i4>0</vt:i4>
      </vt:variant>
      <vt:variant>
        <vt:i4>5</vt:i4>
      </vt:variant>
      <vt:variant>
        <vt:lpwstr/>
      </vt:variant>
      <vt:variant>
        <vt:lpwstr>_Toc86947579</vt:lpwstr>
      </vt:variant>
      <vt:variant>
        <vt:i4>1572913</vt:i4>
      </vt:variant>
      <vt:variant>
        <vt:i4>185</vt:i4>
      </vt:variant>
      <vt:variant>
        <vt:i4>0</vt:i4>
      </vt:variant>
      <vt:variant>
        <vt:i4>5</vt:i4>
      </vt:variant>
      <vt:variant>
        <vt:lpwstr/>
      </vt:variant>
      <vt:variant>
        <vt:lpwstr>_Toc86947578</vt:lpwstr>
      </vt:variant>
      <vt:variant>
        <vt:i4>1507377</vt:i4>
      </vt:variant>
      <vt:variant>
        <vt:i4>182</vt:i4>
      </vt:variant>
      <vt:variant>
        <vt:i4>0</vt:i4>
      </vt:variant>
      <vt:variant>
        <vt:i4>5</vt:i4>
      </vt:variant>
      <vt:variant>
        <vt:lpwstr/>
      </vt:variant>
      <vt:variant>
        <vt:lpwstr>_Toc86947577</vt:lpwstr>
      </vt:variant>
      <vt:variant>
        <vt:i4>1441841</vt:i4>
      </vt:variant>
      <vt:variant>
        <vt:i4>179</vt:i4>
      </vt:variant>
      <vt:variant>
        <vt:i4>0</vt:i4>
      </vt:variant>
      <vt:variant>
        <vt:i4>5</vt:i4>
      </vt:variant>
      <vt:variant>
        <vt:lpwstr/>
      </vt:variant>
      <vt:variant>
        <vt:lpwstr>_Toc86947576</vt:lpwstr>
      </vt:variant>
      <vt:variant>
        <vt:i4>1376305</vt:i4>
      </vt:variant>
      <vt:variant>
        <vt:i4>176</vt:i4>
      </vt:variant>
      <vt:variant>
        <vt:i4>0</vt:i4>
      </vt:variant>
      <vt:variant>
        <vt:i4>5</vt:i4>
      </vt:variant>
      <vt:variant>
        <vt:lpwstr/>
      </vt:variant>
      <vt:variant>
        <vt:lpwstr>_Toc86947575</vt:lpwstr>
      </vt:variant>
      <vt:variant>
        <vt:i4>1310769</vt:i4>
      </vt:variant>
      <vt:variant>
        <vt:i4>173</vt:i4>
      </vt:variant>
      <vt:variant>
        <vt:i4>0</vt:i4>
      </vt:variant>
      <vt:variant>
        <vt:i4>5</vt:i4>
      </vt:variant>
      <vt:variant>
        <vt:lpwstr/>
      </vt:variant>
      <vt:variant>
        <vt:lpwstr>_Toc86947574</vt:lpwstr>
      </vt:variant>
      <vt:variant>
        <vt:i4>1245233</vt:i4>
      </vt:variant>
      <vt:variant>
        <vt:i4>170</vt:i4>
      </vt:variant>
      <vt:variant>
        <vt:i4>0</vt:i4>
      </vt:variant>
      <vt:variant>
        <vt:i4>5</vt:i4>
      </vt:variant>
      <vt:variant>
        <vt:lpwstr/>
      </vt:variant>
      <vt:variant>
        <vt:lpwstr>_Toc86947573</vt:lpwstr>
      </vt:variant>
      <vt:variant>
        <vt:i4>1179697</vt:i4>
      </vt:variant>
      <vt:variant>
        <vt:i4>167</vt:i4>
      </vt:variant>
      <vt:variant>
        <vt:i4>0</vt:i4>
      </vt:variant>
      <vt:variant>
        <vt:i4>5</vt:i4>
      </vt:variant>
      <vt:variant>
        <vt:lpwstr/>
      </vt:variant>
      <vt:variant>
        <vt:lpwstr>_Toc86947572</vt:lpwstr>
      </vt:variant>
      <vt:variant>
        <vt:i4>1114161</vt:i4>
      </vt:variant>
      <vt:variant>
        <vt:i4>164</vt:i4>
      </vt:variant>
      <vt:variant>
        <vt:i4>0</vt:i4>
      </vt:variant>
      <vt:variant>
        <vt:i4>5</vt:i4>
      </vt:variant>
      <vt:variant>
        <vt:lpwstr/>
      </vt:variant>
      <vt:variant>
        <vt:lpwstr>_Toc86947571</vt:lpwstr>
      </vt:variant>
      <vt:variant>
        <vt:i4>1048625</vt:i4>
      </vt:variant>
      <vt:variant>
        <vt:i4>161</vt:i4>
      </vt:variant>
      <vt:variant>
        <vt:i4>0</vt:i4>
      </vt:variant>
      <vt:variant>
        <vt:i4>5</vt:i4>
      </vt:variant>
      <vt:variant>
        <vt:lpwstr/>
      </vt:variant>
      <vt:variant>
        <vt:lpwstr>_Toc86947570</vt:lpwstr>
      </vt:variant>
      <vt:variant>
        <vt:i4>1638448</vt:i4>
      </vt:variant>
      <vt:variant>
        <vt:i4>158</vt:i4>
      </vt:variant>
      <vt:variant>
        <vt:i4>0</vt:i4>
      </vt:variant>
      <vt:variant>
        <vt:i4>5</vt:i4>
      </vt:variant>
      <vt:variant>
        <vt:lpwstr/>
      </vt:variant>
      <vt:variant>
        <vt:lpwstr>_Toc86947569</vt:lpwstr>
      </vt:variant>
      <vt:variant>
        <vt:i4>1572912</vt:i4>
      </vt:variant>
      <vt:variant>
        <vt:i4>155</vt:i4>
      </vt:variant>
      <vt:variant>
        <vt:i4>0</vt:i4>
      </vt:variant>
      <vt:variant>
        <vt:i4>5</vt:i4>
      </vt:variant>
      <vt:variant>
        <vt:lpwstr/>
      </vt:variant>
      <vt:variant>
        <vt:lpwstr>_Toc86947568</vt:lpwstr>
      </vt:variant>
      <vt:variant>
        <vt:i4>1507376</vt:i4>
      </vt:variant>
      <vt:variant>
        <vt:i4>152</vt:i4>
      </vt:variant>
      <vt:variant>
        <vt:i4>0</vt:i4>
      </vt:variant>
      <vt:variant>
        <vt:i4>5</vt:i4>
      </vt:variant>
      <vt:variant>
        <vt:lpwstr/>
      </vt:variant>
      <vt:variant>
        <vt:lpwstr>_Toc86947567</vt:lpwstr>
      </vt:variant>
      <vt:variant>
        <vt:i4>1441840</vt:i4>
      </vt:variant>
      <vt:variant>
        <vt:i4>149</vt:i4>
      </vt:variant>
      <vt:variant>
        <vt:i4>0</vt:i4>
      </vt:variant>
      <vt:variant>
        <vt:i4>5</vt:i4>
      </vt:variant>
      <vt:variant>
        <vt:lpwstr/>
      </vt:variant>
      <vt:variant>
        <vt:lpwstr>_Toc86947566</vt:lpwstr>
      </vt:variant>
      <vt:variant>
        <vt:i4>1376304</vt:i4>
      </vt:variant>
      <vt:variant>
        <vt:i4>146</vt:i4>
      </vt:variant>
      <vt:variant>
        <vt:i4>0</vt:i4>
      </vt:variant>
      <vt:variant>
        <vt:i4>5</vt:i4>
      </vt:variant>
      <vt:variant>
        <vt:lpwstr/>
      </vt:variant>
      <vt:variant>
        <vt:lpwstr>_Toc86947565</vt:lpwstr>
      </vt:variant>
      <vt:variant>
        <vt:i4>1310768</vt:i4>
      </vt:variant>
      <vt:variant>
        <vt:i4>143</vt:i4>
      </vt:variant>
      <vt:variant>
        <vt:i4>0</vt:i4>
      </vt:variant>
      <vt:variant>
        <vt:i4>5</vt:i4>
      </vt:variant>
      <vt:variant>
        <vt:lpwstr/>
      </vt:variant>
      <vt:variant>
        <vt:lpwstr>_Toc86947564</vt:lpwstr>
      </vt:variant>
      <vt:variant>
        <vt:i4>1245232</vt:i4>
      </vt:variant>
      <vt:variant>
        <vt:i4>140</vt:i4>
      </vt:variant>
      <vt:variant>
        <vt:i4>0</vt:i4>
      </vt:variant>
      <vt:variant>
        <vt:i4>5</vt:i4>
      </vt:variant>
      <vt:variant>
        <vt:lpwstr/>
      </vt:variant>
      <vt:variant>
        <vt:lpwstr>_Toc86947563</vt:lpwstr>
      </vt:variant>
      <vt:variant>
        <vt:i4>1179696</vt:i4>
      </vt:variant>
      <vt:variant>
        <vt:i4>137</vt:i4>
      </vt:variant>
      <vt:variant>
        <vt:i4>0</vt:i4>
      </vt:variant>
      <vt:variant>
        <vt:i4>5</vt:i4>
      </vt:variant>
      <vt:variant>
        <vt:lpwstr/>
      </vt:variant>
      <vt:variant>
        <vt:lpwstr>_Toc86947562</vt:lpwstr>
      </vt:variant>
      <vt:variant>
        <vt:i4>1114160</vt:i4>
      </vt:variant>
      <vt:variant>
        <vt:i4>134</vt:i4>
      </vt:variant>
      <vt:variant>
        <vt:i4>0</vt:i4>
      </vt:variant>
      <vt:variant>
        <vt:i4>5</vt:i4>
      </vt:variant>
      <vt:variant>
        <vt:lpwstr/>
      </vt:variant>
      <vt:variant>
        <vt:lpwstr>_Toc86947561</vt:lpwstr>
      </vt:variant>
      <vt:variant>
        <vt:i4>1048624</vt:i4>
      </vt:variant>
      <vt:variant>
        <vt:i4>131</vt:i4>
      </vt:variant>
      <vt:variant>
        <vt:i4>0</vt:i4>
      </vt:variant>
      <vt:variant>
        <vt:i4>5</vt:i4>
      </vt:variant>
      <vt:variant>
        <vt:lpwstr/>
      </vt:variant>
      <vt:variant>
        <vt:lpwstr>_Toc86947560</vt:lpwstr>
      </vt:variant>
      <vt:variant>
        <vt:i4>1638451</vt:i4>
      </vt:variant>
      <vt:variant>
        <vt:i4>128</vt:i4>
      </vt:variant>
      <vt:variant>
        <vt:i4>0</vt:i4>
      </vt:variant>
      <vt:variant>
        <vt:i4>5</vt:i4>
      </vt:variant>
      <vt:variant>
        <vt:lpwstr/>
      </vt:variant>
      <vt:variant>
        <vt:lpwstr>_Toc86947559</vt:lpwstr>
      </vt:variant>
      <vt:variant>
        <vt:i4>1572915</vt:i4>
      </vt:variant>
      <vt:variant>
        <vt:i4>125</vt:i4>
      </vt:variant>
      <vt:variant>
        <vt:i4>0</vt:i4>
      </vt:variant>
      <vt:variant>
        <vt:i4>5</vt:i4>
      </vt:variant>
      <vt:variant>
        <vt:lpwstr/>
      </vt:variant>
      <vt:variant>
        <vt:lpwstr>_Toc86947558</vt:lpwstr>
      </vt:variant>
      <vt:variant>
        <vt:i4>1507379</vt:i4>
      </vt:variant>
      <vt:variant>
        <vt:i4>122</vt:i4>
      </vt:variant>
      <vt:variant>
        <vt:i4>0</vt:i4>
      </vt:variant>
      <vt:variant>
        <vt:i4>5</vt:i4>
      </vt:variant>
      <vt:variant>
        <vt:lpwstr/>
      </vt:variant>
      <vt:variant>
        <vt:lpwstr>_Toc86947557</vt:lpwstr>
      </vt:variant>
      <vt:variant>
        <vt:i4>1441843</vt:i4>
      </vt:variant>
      <vt:variant>
        <vt:i4>119</vt:i4>
      </vt:variant>
      <vt:variant>
        <vt:i4>0</vt:i4>
      </vt:variant>
      <vt:variant>
        <vt:i4>5</vt:i4>
      </vt:variant>
      <vt:variant>
        <vt:lpwstr/>
      </vt:variant>
      <vt:variant>
        <vt:lpwstr>_Toc86947556</vt:lpwstr>
      </vt:variant>
      <vt:variant>
        <vt:i4>1376307</vt:i4>
      </vt:variant>
      <vt:variant>
        <vt:i4>116</vt:i4>
      </vt:variant>
      <vt:variant>
        <vt:i4>0</vt:i4>
      </vt:variant>
      <vt:variant>
        <vt:i4>5</vt:i4>
      </vt:variant>
      <vt:variant>
        <vt:lpwstr/>
      </vt:variant>
      <vt:variant>
        <vt:lpwstr>_Toc86947555</vt:lpwstr>
      </vt:variant>
      <vt:variant>
        <vt:i4>1310771</vt:i4>
      </vt:variant>
      <vt:variant>
        <vt:i4>113</vt:i4>
      </vt:variant>
      <vt:variant>
        <vt:i4>0</vt:i4>
      </vt:variant>
      <vt:variant>
        <vt:i4>5</vt:i4>
      </vt:variant>
      <vt:variant>
        <vt:lpwstr/>
      </vt:variant>
      <vt:variant>
        <vt:lpwstr>_Toc86947554</vt:lpwstr>
      </vt:variant>
      <vt:variant>
        <vt:i4>1245235</vt:i4>
      </vt:variant>
      <vt:variant>
        <vt:i4>110</vt:i4>
      </vt:variant>
      <vt:variant>
        <vt:i4>0</vt:i4>
      </vt:variant>
      <vt:variant>
        <vt:i4>5</vt:i4>
      </vt:variant>
      <vt:variant>
        <vt:lpwstr/>
      </vt:variant>
      <vt:variant>
        <vt:lpwstr>_Toc86947553</vt:lpwstr>
      </vt:variant>
      <vt:variant>
        <vt:i4>1179699</vt:i4>
      </vt:variant>
      <vt:variant>
        <vt:i4>107</vt:i4>
      </vt:variant>
      <vt:variant>
        <vt:i4>0</vt:i4>
      </vt:variant>
      <vt:variant>
        <vt:i4>5</vt:i4>
      </vt:variant>
      <vt:variant>
        <vt:lpwstr/>
      </vt:variant>
      <vt:variant>
        <vt:lpwstr>_Toc86947552</vt:lpwstr>
      </vt:variant>
      <vt:variant>
        <vt:i4>1507380</vt:i4>
      </vt:variant>
      <vt:variant>
        <vt:i4>101</vt:i4>
      </vt:variant>
      <vt:variant>
        <vt:i4>0</vt:i4>
      </vt:variant>
      <vt:variant>
        <vt:i4>5</vt:i4>
      </vt:variant>
      <vt:variant>
        <vt:lpwstr/>
      </vt:variant>
      <vt:variant>
        <vt:lpwstr>_Toc86914413</vt:lpwstr>
      </vt:variant>
      <vt:variant>
        <vt:i4>1048627</vt:i4>
      </vt:variant>
      <vt:variant>
        <vt:i4>95</vt:i4>
      </vt:variant>
      <vt:variant>
        <vt:i4>0</vt:i4>
      </vt:variant>
      <vt:variant>
        <vt:i4>5</vt:i4>
      </vt:variant>
      <vt:variant>
        <vt:lpwstr/>
      </vt:variant>
      <vt:variant>
        <vt:lpwstr>_Toc86947550</vt:lpwstr>
      </vt:variant>
      <vt:variant>
        <vt:i4>1638450</vt:i4>
      </vt:variant>
      <vt:variant>
        <vt:i4>92</vt:i4>
      </vt:variant>
      <vt:variant>
        <vt:i4>0</vt:i4>
      </vt:variant>
      <vt:variant>
        <vt:i4>5</vt:i4>
      </vt:variant>
      <vt:variant>
        <vt:lpwstr/>
      </vt:variant>
      <vt:variant>
        <vt:lpwstr>_Toc86947549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2021-11-05T21:21:00Z</dcterms:created>
  <dcterms:modified xsi:type="dcterms:W3CDTF">2021-11-05T22:30:00Z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